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B51CA" w14:textId="5C7CC690" w:rsidR="00AD2B8D" w:rsidRPr="00436E29" w:rsidRDefault="00336411" w:rsidP="00C317A5">
      <w:pPr>
        <w:jc w:val="both"/>
        <w:rPr>
          <w:b/>
        </w:rPr>
      </w:pPr>
      <w:r w:rsidRPr="00436E29">
        <w:rPr>
          <w:b/>
        </w:rPr>
        <w:t xml:space="preserve">Austatud </w:t>
      </w:r>
      <w:r w:rsidR="00F231BA">
        <w:rPr>
          <w:b/>
        </w:rPr>
        <w:t xml:space="preserve">hr Aivar Tomson ja Argo </w:t>
      </w:r>
      <w:proofErr w:type="spellStart"/>
      <w:r w:rsidR="00F231BA">
        <w:rPr>
          <w:b/>
        </w:rPr>
        <w:t>Pillesson</w:t>
      </w:r>
      <w:proofErr w:type="spellEnd"/>
      <w:r w:rsidR="00F231BA">
        <w:rPr>
          <w:b/>
        </w:rPr>
        <w:t xml:space="preserve">, </w:t>
      </w:r>
      <w:r w:rsidRPr="00436E29">
        <w:rPr>
          <w:b/>
        </w:rPr>
        <w:t>Eesti Kinnisvarahindajate Ühingu juhatus ja aukohus</w:t>
      </w:r>
    </w:p>
    <w:p w14:paraId="1A2D9943" w14:textId="3B80E29B" w:rsidR="00336411" w:rsidRPr="00436E29" w:rsidRDefault="00336411" w:rsidP="00C317A5">
      <w:pPr>
        <w:jc w:val="both"/>
        <w:rPr>
          <w:b/>
        </w:rPr>
      </w:pPr>
      <w:r w:rsidRPr="00436E29">
        <w:rPr>
          <w:b/>
        </w:rPr>
        <w:t xml:space="preserve">Austatud </w:t>
      </w:r>
      <w:r w:rsidR="00F231BA">
        <w:rPr>
          <w:b/>
        </w:rPr>
        <w:t xml:space="preserve">hr Gunnar Tasa, </w:t>
      </w:r>
      <w:r w:rsidRPr="00436E29">
        <w:rPr>
          <w:b/>
        </w:rPr>
        <w:t>Eesti Kohtuekspertiisi Instituut</w:t>
      </w:r>
    </w:p>
    <w:p w14:paraId="625D61F3" w14:textId="595AC933" w:rsidR="00336411" w:rsidRPr="00436E29" w:rsidRDefault="00336411" w:rsidP="00C317A5">
      <w:pPr>
        <w:jc w:val="both"/>
        <w:rPr>
          <w:b/>
        </w:rPr>
      </w:pPr>
      <w:r w:rsidRPr="00436E29">
        <w:rPr>
          <w:b/>
        </w:rPr>
        <w:t xml:space="preserve">Austatud </w:t>
      </w:r>
      <w:r w:rsidR="00F231BA">
        <w:rPr>
          <w:b/>
        </w:rPr>
        <w:t xml:space="preserve">pr Keir </w:t>
      </w:r>
      <w:proofErr w:type="spellStart"/>
      <w:r w:rsidR="00F231BA">
        <w:rPr>
          <w:b/>
        </w:rPr>
        <w:t>Hildebrand</w:t>
      </w:r>
      <w:proofErr w:type="spellEnd"/>
      <w:r w:rsidR="00F231BA">
        <w:rPr>
          <w:b/>
        </w:rPr>
        <w:t>, AS</w:t>
      </w:r>
      <w:r w:rsidRPr="00436E29">
        <w:rPr>
          <w:b/>
        </w:rPr>
        <w:t xml:space="preserve"> Ober</w:t>
      </w:r>
      <w:r w:rsidR="00F231BA">
        <w:rPr>
          <w:b/>
        </w:rPr>
        <w:t>-</w:t>
      </w:r>
      <w:r w:rsidRPr="00436E29">
        <w:rPr>
          <w:b/>
        </w:rPr>
        <w:t>Haus juhatus</w:t>
      </w:r>
    </w:p>
    <w:p w14:paraId="3383937A" w14:textId="75BD2746" w:rsidR="00336411" w:rsidRDefault="00336411" w:rsidP="00C317A5">
      <w:pPr>
        <w:jc w:val="both"/>
      </w:pPr>
      <w:r w:rsidRPr="00436E29">
        <w:rPr>
          <w:b/>
        </w:rPr>
        <w:t xml:space="preserve">Austatud </w:t>
      </w:r>
      <w:r w:rsidR="00F231BA">
        <w:rPr>
          <w:b/>
        </w:rPr>
        <w:t xml:space="preserve">hr </w:t>
      </w:r>
      <w:proofErr w:type="spellStart"/>
      <w:r w:rsidR="00F231BA">
        <w:rPr>
          <w:b/>
        </w:rPr>
        <w:t>Taavo</w:t>
      </w:r>
      <w:proofErr w:type="spellEnd"/>
      <w:r w:rsidR="00F231BA">
        <w:rPr>
          <w:b/>
        </w:rPr>
        <w:t xml:space="preserve"> Vainomaa, </w:t>
      </w:r>
      <w:r w:rsidRPr="00436E29">
        <w:rPr>
          <w:b/>
        </w:rPr>
        <w:t>OÜ Lahe Kinnisvara juhatus</w:t>
      </w:r>
    </w:p>
    <w:p w14:paraId="59BD6DE2" w14:textId="77777777" w:rsidR="00336411" w:rsidRDefault="00336411" w:rsidP="00C317A5">
      <w:pPr>
        <w:jc w:val="both"/>
      </w:pPr>
    </w:p>
    <w:p w14:paraId="532D6AA4" w14:textId="66B83A7E" w:rsidR="009F0DBE" w:rsidRDefault="00336411" w:rsidP="00C317A5">
      <w:pPr>
        <w:jc w:val="both"/>
      </w:pPr>
      <w:r>
        <w:t xml:space="preserve">Käesolevaga esitan Teile kirjelduse kutselise hindaja </w:t>
      </w:r>
      <w:r w:rsidR="009F0DBE">
        <w:t xml:space="preserve">ja EKEI eraeksperdi </w:t>
      </w:r>
      <w:r>
        <w:t>Krista Õiguse tegevuse kohta</w:t>
      </w:r>
      <w:r w:rsidR="009F0DBE">
        <w:t>.</w:t>
      </w:r>
      <w:r>
        <w:t xml:space="preserve"> </w:t>
      </w:r>
      <w:r w:rsidR="009F0DBE">
        <w:t>P</w:t>
      </w:r>
      <w:r>
        <w:t xml:space="preserve">alun Teil anda </w:t>
      </w:r>
      <w:r w:rsidR="009F0DBE">
        <w:t xml:space="preserve">kirjeldatud </w:t>
      </w:r>
      <w:r w:rsidR="00C27C2A">
        <w:t xml:space="preserve">sündmustele objektiivne hinnang ja </w:t>
      </w:r>
      <w:r w:rsidR="00317935">
        <w:t xml:space="preserve">vajadusel </w:t>
      </w:r>
      <w:r w:rsidR="00C27C2A">
        <w:t xml:space="preserve">tõstatada </w:t>
      </w:r>
      <w:proofErr w:type="spellStart"/>
      <w:r w:rsidR="00C27C2A">
        <w:t>K.Õiguse</w:t>
      </w:r>
      <w:proofErr w:type="spellEnd"/>
      <w:r w:rsidR="00C27C2A">
        <w:t xml:space="preserve"> kui </w:t>
      </w:r>
      <w:r w:rsidR="00F231BA">
        <w:t>EKEI era</w:t>
      </w:r>
      <w:r w:rsidR="00C27C2A">
        <w:t xml:space="preserve">eksperdi </w:t>
      </w:r>
      <w:r w:rsidR="00F231BA">
        <w:t xml:space="preserve">ja VII taseme kutselise hindaja </w:t>
      </w:r>
      <w:r w:rsidR="00C27C2A">
        <w:t>usaldusväärsuse küsimus.</w:t>
      </w:r>
      <w:r w:rsidR="00A847E3">
        <w:t xml:space="preserve"> Rõhutan etteruttavalt, et käesolevaga ei vaidlusta ma hindaja poolt </w:t>
      </w:r>
      <w:r w:rsidR="00F231BA">
        <w:t xml:space="preserve">konkreetsele </w:t>
      </w:r>
      <w:r w:rsidR="00A847E3">
        <w:t>kinnistule omistatud väärtust, vaid metoodikat, mis sisaldab otseseid valeväiteid, selgelt sobimatuid võrdlusi, õigusaktides otsesõnu sätestatu eiramist ja küsitavaid valikuid</w:t>
      </w:r>
      <w:r w:rsidR="00F231BA">
        <w:t xml:space="preserve"> ehk kokkuvõttes usaldusväärsust tervikuna</w:t>
      </w:r>
      <w:r w:rsidR="00A847E3">
        <w:t xml:space="preserve">. </w:t>
      </w:r>
    </w:p>
    <w:p w14:paraId="1060F2DE" w14:textId="27150FBB" w:rsidR="001520F2" w:rsidRDefault="006F1298" w:rsidP="00C317A5">
      <w:pPr>
        <w:jc w:val="both"/>
      </w:pPr>
      <w:r>
        <w:t>Minu s</w:t>
      </w:r>
      <w:r w:rsidR="001520F2">
        <w:t xml:space="preserve">enine kokkupuude </w:t>
      </w:r>
      <w:r w:rsidR="00A847E3">
        <w:t xml:space="preserve">eksperdina </w:t>
      </w:r>
      <w:r w:rsidR="00F231BA">
        <w:t xml:space="preserve">tegutsevate </w:t>
      </w:r>
      <w:r w:rsidR="00A847E3">
        <w:t>isikute</w:t>
      </w:r>
      <w:r w:rsidR="001520F2">
        <w:t>ga on pannud arvama, et selle elukutse esindajatelt on põhjust eeldada täielikku erapooletust</w:t>
      </w:r>
      <w:r>
        <w:t xml:space="preserve"> ja </w:t>
      </w:r>
      <w:r w:rsidRPr="00A847E3">
        <w:rPr>
          <w:b/>
        </w:rPr>
        <w:t>kõigi</w:t>
      </w:r>
      <w:r>
        <w:t xml:space="preserve"> asjaoludega arvestamist</w:t>
      </w:r>
      <w:r w:rsidR="00F231BA">
        <w:t xml:space="preserve"> (eelkõige </w:t>
      </w:r>
      <w:r w:rsidR="00F231BA" w:rsidRPr="00F231BA">
        <w:rPr>
          <w:b/>
          <w:bCs/>
        </w:rPr>
        <w:t>huvi</w:t>
      </w:r>
      <w:r w:rsidR="00F231BA">
        <w:t xml:space="preserve"> tõe väljaselgitamise vastu)</w:t>
      </w:r>
      <w:r w:rsidR="001520F2">
        <w:t>, mitte pelgalt „tellija huvidest“ lähtumist</w:t>
      </w:r>
      <w:r w:rsidR="00A847E3">
        <w:t xml:space="preserve"> ja tellija väidete pimesi uskumist</w:t>
      </w:r>
      <w:r w:rsidR="001520F2">
        <w:t xml:space="preserve">. </w:t>
      </w:r>
    </w:p>
    <w:p w14:paraId="7251E797" w14:textId="77777777" w:rsidR="009F0DBE" w:rsidRDefault="00336411" w:rsidP="00C317A5">
      <w:pPr>
        <w:jc w:val="both"/>
      </w:pPr>
      <w:r>
        <w:t xml:space="preserve">Teilt saadav objektiivne hinnang </w:t>
      </w:r>
      <w:r w:rsidR="00A847E3">
        <w:t xml:space="preserve">aitab </w:t>
      </w:r>
      <w:r>
        <w:t xml:space="preserve">kujundada seisukohta, kas ja kuidas jagada </w:t>
      </w:r>
      <w:r w:rsidR="00033CC9">
        <w:t xml:space="preserve">enda kogemust </w:t>
      </w:r>
      <w:r w:rsidR="009F0DBE">
        <w:t xml:space="preserve">laiema avalikkusega </w:t>
      </w:r>
      <w:r>
        <w:t xml:space="preserve">kui hoiatavat näidet </w:t>
      </w:r>
      <w:r w:rsidR="009F0DBE">
        <w:t>pealesurutud hindamismenetlus</w:t>
      </w:r>
      <w:r w:rsidR="006F1298">
        <w:t>t</w:t>
      </w:r>
      <w:r w:rsidR="009F0DBE">
        <w:t xml:space="preserve">ega kaasnevatest </w:t>
      </w:r>
      <w:r w:rsidR="006F1298">
        <w:t>„</w:t>
      </w:r>
      <w:r w:rsidR="00C663F4">
        <w:t>üllatustest</w:t>
      </w:r>
      <w:r w:rsidR="006F1298">
        <w:t>“</w:t>
      </w:r>
      <w:r>
        <w:t>.</w:t>
      </w:r>
      <w:r w:rsidR="00A847E3">
        <w:t xml:space="preserve"> </w:t>
      </w:r>
      <w:r>
        <w:t xml:space="preserve"> </w:t>
      </w:r>
    </w:p>
    <w:p w14:paraId="4B2E8DDB" w14:textId="77777777" w:rsidR="00336411" w:rsidRDefault="00336411" w:rsidP="00C317A5">
      <w:pPr>
        <w:jc w:val="both"/>
      </w:pPr>
      <w:r>
        <w:t>Vajadusel olen meeleldi nõus andma täiendavaid selgitusi või lisama dokumente.</w:t>
      </w:r>
    </w:p>
    <w:p w14:paraId="5404EA17" w14:textId="77777777" w:rsidR="006F1298" w:rsidRDefault="00A847E3" w:rsidP="00C317A5">
      <w:pPr>
        <w:jc w:val="both"/>
        <w:rPr>
          <w:b/>
          <w:i/>
        </w:rPr>
      </w:pPr>
      <w:r>
        <w:rPr>
          <w:b/>
          <w:i/>
        </w:rPr>
        <w:t>***</w:t>
      </w:r>
    </w:p>
    <w:p w14:paraId="5B9564E5" w14:textId="77777777" w:rsidR="00A847E3" w:rsidRDefault="006F1298" w:rsidP="00C317A5">
      <w:pPr>
        <w:jc w:val="both"/>
      </w:pPr>
      <w:r>
        <w:t xml:space="preserve">Juulis 2025 juhtisin Viimsi vallavalitsuse (edaspidi VV) tähelepanu asjaolule, et VV on ilma loata, lepinguta, hüvitist maksmata kasutusele võtnud ligi 100 ruutmeetrit Leppneeme tee 77 asuvast kinnistust (edaspidi LT77). </w:t>
      </w:r>
    </w:p>
    <w:p w14:paraId="0D4C9EA7" w14:textId="0742E2A0" w:rsidR="00336411" w:rsidRDefault="006F1298" w:rsidP="00C317A5">
      <w:pPr>
        <w:jc w:val="both"/>
      </w:pPr>
      <w:r>
        <w:t xml:space="preserve">Ligi kaks kuud hiljem </w:t>
      </w:r>
      <w:r w:rsidR="00A847E3">
        <w:t xml:space="preserve">teatas VV, et kõnealune maatükk kuulub KAHOS korras omandamisele ning </w:t>
      </w:r>
      <w:r>
        <w:t xml:space="preserve">tellis </w:t>
      </w:r>
      <w:r w:rsidR="00A847E3">
        <w:t xml:space="preserve">hindamise </w:t>
      </w:r>
      <w:proofErr w:type="spellStart"/>
      <w:r w:rsidR="00F231BA">
        <w:t>AS</w:t>
      </w:r>
      <w:r w:rsidR="009F0DBE">
        <w:t>-</w:t>
      </w:r>
      <w:r>
        <w:t>lt</w:t>
      </w:r>
      <w:proofErr w:type="spellEnd"/>
      <w:r w:rsidR="009F0DBE">
        <w:t xml:space="preserve"> Ober</w:t>
      </w:r>
      <w:r w:rsidR="00F231BA">
        <w:t>-</w:t>
      </w:r>
      <w:r w:rsidR="009F0DBE">
        <w:t xml:space="preserve">Haus. </w:t>
      </w:r>
      <w:r>
        <w:t>Hindaja</w:t>
      </w:r>
      <w:r w:rsidR="00F32FA3">
        <w:t>ks</w:t>
      </w:r>
      <w:r>
        <w:t xml:space="preserve"> Krista Õigus</w:t>
      </w:r>
      <w:r w:rsidR="00A847E3">
        <w:t xml:space="preserve">. </w:t>
      </w:r>
    </w:p>
    <w:p w14:paraId="4F6F3101" w14:textId="77777777" w:rsidR="00160860" w:rsidRPr="00160860" w:rsidRDefault="00160860" w:rsidP="00C317A5">
      <w:pPr>
        <w:jc w:val="both"/>
        <w:rPr>
          <w:b/>
          <w:bCs/>
        </w:rPr>
      </w:pPr>
      <w:r w:rsidRPr="00160860">
        <w:rPr>
          <w:b/>
          <w:bCs/>
        </w:rPr>
        <w:t xml:space="preserve">I </w:t>
      </w:r>
      <w:r w:rsidR="00AD2B8D" w:rsidRPr="00160860">
        <w:rPr>
          <w:b/>
          <w:bCs/>
        </w:rPr>
        <w:t xml:space="preserve">Eksperthinnang nr 81193/TL </w:t>
      </w:r>
      <w:r w:rsidRPr="00160860">
        <w:rPr>
          <w:b/>
          <w:bCs/>
        </w:rPr>
        <w:t>(edaspidi: Hinnang)</w:t>
      </w:r>
    </w:p>
    <w:p w14:paraId="77B7C003" w14:textId="77B30252" w:rsidR="00A847E3" w:rsidRDefault="000C6177" w:rsidP="00C317A5">
      <w:pPr>
        <w:jc w:val="both"/>
      </w:pPr>
      <w:r>
        <w:t>Hinnangus</w:t>
      </w:r>
      <w:r w:rsidR="00A847E3">
        <w:t xml:space="preserve"> on läbivalt rõhutatud, et kinnistu väärtust mõjutab ennekõike APEK (VV määras paljudele valla kinnistutele APEKi detsembris 2023, kehtivuseks 2 aastat). Ajutise piirangu (mida teadaolevalt ei tohiks arvestada) kehtivusest lähtudes pidas hindaja võimalikuks võrrelda LT77 ehk hoonestatud elamumaad põllumajandusmaade, tühjaks raiutud metsamaadega, märkida hinnangu kirjeldavas osas, et </w:t>
      </w:r>
      <w:r w:rsidR="00F32FA3">
        <w:t>hinnatavast varast võiks olla huvitatud põllumajandusega tegelev ettevõtja, jms alandavat teksti (tegemist on inimeste elamumaaga, koduga!)</w:t>
      </w:r>
      <w:r w:rsidR="00A847E3">
        <w:t xml:space="preserve">. </w:t>
      </w:r>
    </w:p>
    <w:p w14:paraId="5F4E2C52" w14:textId="77777777" w:rsidR="00AD2B8D" w:rsidRDefault="00A847E3" w:rsidP="00C317A5">
      <w:pPr>
        <w:jc w:val="both"/>
      </w:pPr>
      <w:r>
        <w:lastRenderedPageBreak/>
        <w:t xml:space="preserve">Hinnangus </w:t>
      </w:r>
      <w:r w:rsidR="006F1298">
        <w:t xml:space="preserve">peatutakse </w:t>
      </w:r>
      <w:r w:rsidR="00AD2B8D">
        <w:t xml:space="preserve">põhjalikult </w:t>
      </w:r>
      <w:r w:rsidR="00AD2B8D" w:rsidRPr="003F21C6">
        <w:rPr>
          <w:b/>
          <w:bCs/>
        </w:rPr>
        <w:t>hoonestamata</w:t>
      </w:r>
      <w:r w:rsidR="00AD2B8D">
        <w:t xml:space="preserve"> maadega tehtud tehingute</w:t>
      </w:r>
      <w:r w:rsidR="00D53E47">
        <w:t xml:space="preserve"> statistika</w:t>
      </w:r>
      <w:r w:rsidR="00AD2B8D">
        <w:t>l. Kogu põhjalikkusele vaatamata ei nähtu eksperthinnangust</w:t>
      </w:r>
      <w:r w:rsidR="000D6D03">
        <w:t xml:space="preserve"> </w:t>
      </w:r>
      <w:r w:rsidR="000D6D03" w:rsidRPr="00E057F7">
        <w:rPr>
          <w:b/>
          <w:bCs/>
        </w:rPr>
        <w:t>otsesõnu</w:t>
      </w:r>
      <w:r w:rsidR="00E675C7">
        <w:t xml:space="preserve">, s.t. </w:t>
      </w:r>
      <w:r>
        <w:t>jääb</w:t>
      </w:r>
      <w:r w:rsidR="006F1298">
        <w:t xml:space="preserve"> </w:t>
      </w:r>
      <w:r w:rsidR="00E675C7">
        <w:t>arusaamatuks</w:t>
      </w:r>
      <w:r w:rsidR="00AD2B8D">
        <w:t xml:space="preserve">, kuidas </w:t>
      </w:r>
      <w:r w:rsidR="006F1298">
        <w:t xml:space="preserve">puutuvad asjasse </w:t>
      </w:r>
      <w:r w:rsidR="00AD2B8D">
        <w:t xml:space="preserve">hoonestamata maadega tehtud tehingud </w:t>
      </w:r>
      <w:r w:rsidR="007C4052">
        <w:t xml:space="preserve">(Erakorralise hindamise kord näeb ette, et hindamisaruanne peab olema </w:t>
      </w:r>
      <w:r w:rsidR="007C4052" w:rsidRPr="007C4052">
        <w:rPr>
          <w:b/>
          <w:bCs/>
          <w:u w:val="single"/>
        </w:rPr>
        <w:t>selge</w:t>
      </w:r>
      <w:r w:rsidR="007C4052">
        <w:rPr>
          <w:b/>
          <w:bCs/>
          <w:u w:val="single"/>
        </w:rPr>
        <w:t>,</w:t>
      </w:r>
      <w:r w:rsidR="007C4052" w:rsidRPr="007C4052">
        <w:t xml:space="preserve"> s.t. mitte </w:t>
      </w:r>
      <w:r w:rsidR="00E057F7">
        <w:t>arusaamatu</w:t>
      </w:r>
      <w:r w:rsidR="007C4052">
        <w:t>)</w:t>
      </w:r>
      <w:r w:rsidR="00AD2B8D">
        <w:t xml:space="preserve">. Tegemist </w:t>
      </w:r>
      <w:r w:rsidR="00AD2B8D" w:rsidRPr="00E675C7">
        <w:rPr>
          <w:b/>
          <w:bCs/>
        </w:rPr>
        <w:t>ei ole</w:t>
      </w:r>
      <w:r w:rsidR="00AD2B8D">
        <w:t xml:space="preserve"> hoonestamata maaga</w:t>
      </w:r>
      <w:r w:rsidR="00D53E47">
        <w:t>, vastupidi</w:t>
      </w:r>
      <w:r w:rsidR="00595663">
        <w:t xml:space="preserve"> – maa on hoonestatud ning selles elatakse igapäevaselt</w:t>
      </w:r>
      <w:r w:rsidR="00AD2B8D">
        <w:t xml:space="preserve">. Kinnistu omanik ei ole selles süüdi, et vallavalitsus </w:t>
      </w:r>
      <w:r w:rsidR="00595663">
        <w:t xml:space="preserve">hõivas omavoliliselt </w:t>
      </w:r>
      <w:r w:rsidR="00F94910">
        <w:t xml:space="preserve">just hoonestatud elamumaa </w:t>
      </w:r>
      <w:r w:rsidR="0060716A">
        <w:t xml:space="preserve">ning </w:t>
      </w:r>
      <w:r w:rsidR="00595663">
        <w:t xml:space="preserve">tehtud </w:t>
      </w:r>
      <w:r w:rsidR="0060716A">
        <w:t xml:space="preserve">omavoli </w:t>
      </w:r>
      <w:r w:rsidR="00595663">
        <w:t xml:space="preserve">nüüd </w:t>
      </w:r>
      <w:r w:rsidR="0060716A">
        <w:t xml:space="preserve">seadustada (sundvõõrandamise teel) </w:t>
      </w:r>
      <w:r w:rsidR="00FD7138">
        <w:t xml:space="preserve">püüdes </w:t>
      </w:r>
      <w:r w:rsidR="007422DF">
        <w:t xml:space="preserve">võimalikult odavalt läbi ajada </w:t>
      </w:r>
      <w:r w:rsidR="00FD7138">
        <w:t>üritab</w:t>
      </w:r>
      <w:r w:rsidR="0060716A">
        <w:t>.</w:t>
      </w:r>
    </w:p>
    <w:p w14:paraId="55074218" w14:textId="77777777" w:rsidR="007422DF" w:rsidRDefault="00AD2B8D" w:rsidP="00C317A5">
      <w:pPr>
        <w:jc w:val="both"/>
      </w:pPr>
      <w:r>
        <w:t xml:space="preserve">Viimsi vallas, nagu </w:t>
      </w:r>
      <w:r w:rsidR="007422DF">
        <w:t>Hinnangus</w:t>
      </w:r>
      <w:r w:rsidR="006F1298">
        <w:t>t</w:t>
      </w:r>
      <w:r w:rsidR="007422DF">
        <w:t xml:space="preserve"> </w:t>
      </w:r>
      <w:r w:rsidR="006F1298">
        <w:t>nähtub</w:t>
      </w:r>
      <w:r>
        <w:t xml:space="preserve">, </w:t>
      </w:r>
      <w:r w:rsidR="006F1298">
        <w:t xml:space="preserve">tehti </w:t>
      </w:r>
      <w:r w:rsidR="00620E40">
        <w:t xml:space="preserve">2025. aastal </w:t>
      </w:r>
      <w:r>
        <w:t xml:space="preserve">hoonestamata maadega 41 tehingut </w:t>
      </w:r>
      <w:r w:rsidRPr="00021832">
        <w:rPr>
          <w:b/>
          <w:bCs/>
        </w:rPr>
        <w:t>keskmise hinnaga 113,58 (!) eurot</w:t>
      </w:r>
      <w:r>
        <w:t xml:space="preserve"> ruutmeetri kohta. Seejuures </w:t>
      </w:r>
      <w:r w:rsidRPr="00AD2B8D">
        <w:rPr>
          <w:b/>
          <w:bCs/>
          <w:u w:val="single"/>
        </w:rPr>
        <w:t>minimaalne</w:t>
      </w:r>
      <w:r>
        <w:t xml:space="preserve"> ruutmeetri hind 2025.a. toimunud tehingute puhul on 13,66 eurot</w:t>
      </w:r>
      <w:r w:rsidR="007422DF">
        <w:t>.</w:t>
      </w:r>
      <w:r w:rsidR="004A706D">
        <w:t xml:space="preserve"> 2024. aasta tehingute puhul oli minimaalne hind 21 eurot/m2</w:t>
      </w:r>
      <w:r>
        <w:t xml:space="preserve">. </w:t>
      </w:r>
    </w:p>
    <w:p w14:paraId="127F79AC" w14:textId="77777777" w:rsidR="00A847E3" w:rsidRDefault="00AD2B8D" w:rsidP="00C317A5">
      <w:pPr>
        <w:jc w:val="both"/>
        <w:rPr>
          <w:b/>
          <w:bCs/>
        </w:rPr>
      </w:pPr>
      <w:r>
        <w:t xml:space="preserve">Sellele vaatamata </w:t>
      </w:r>
      <w:r w:rsidR="006F1298">
        <w:t xml:space="preserve">suutis hindaja </w:t>
      </w:r>
      <w:r w:rsidR="00021832">
        <w:t>kõnealuse kinnistu</w:t>
      </w:r>
      <w:r w:rsidR="002F2792">
        <w:t xml:space="preserve"> </w:t>
      </w:r>
      <w:r w:rsidR="002F2792" w:rsidRPr="002F2792">
        <w:rPr>
          <w:b/>
          <w:bCs/>
          <w:u w:val="single"/>
        </w:rPr>
        <w:t>turuväärtust välja selgitades</w:t>
      </w:r>
      <w:r w:rsidR="007422DF">
        <w:t xml:space="preserve"> </w:t>
      </w:r>
      <w:r w:rsidR="00F275B5">
        <w:t xml:space="preserve">saavutada matemaatilise </w:t>
      </w:r>
      <w:r w:rsidR="002F2792">
        <w:t xml:space="preserve">ime </w:t>
      </w:r>
      <w:r w:rsidR="00F275B5">
        <w:t>ehk tulemuse</w:t>
      </w:r>
      <w:r w:rsidR="007422DF">
        <w:t xml:space="preserve">, kus </w:t>
      </w:r>
      <w:r w:rsidR="00A847E3">
        <w:t xml:space="preserve">hoonestatud </w:t>
      </w:r>
      <w:r w:rsidR="00F275B5">
        <w:t xml:space="preserve">elamumaa </w:t>
      </w:r>
      <w:r w:rsidR="002F2792">
        <w:t xml:space="preserve">kinnistu </w:t>
      </w:r>
      <w:r w:rsidR="00F275B5">
        <w:t xml:space="preserve">ruutmeetri hinnaks </w:t>
      </w:r>
      <w:r w:rsidR="002F2792">
        <w:t xml:space="preserve">kujunes </w:t>
      </w:r>
      <w:r w:rsidRPr="00122B54">
        <w:rPr>
          <w:b/>
          <w:bCs/>
        </w:rPr>
        <w:t>1,93 eurot</w:t>
      </w:r>
      <w:r w:rsidR="00A847E3">
        <w:rPr>
          <w:b/>
          <w:bCs/>
        </w:rPr>
        <w:t>.</w:t>
      </w:r>
      <w:r w:rsidR="00122B54">
        <w:rPr>
          <w:b/>
          <w:bCs/>
        </w:rPr>
        <w:t xml:space="preserve"> </w:t>
      </w:r>
    </w:p>
    <w:p w14:paraId="3F6B84FD" w14:textId="77777777" w:rsidR="00A36420" w:rsidRDefault="006F1298" w:rsidP="00C317A5">
      <w:pPr>
        <w:jc w:val="both"/>
      </w:pPr>
      <w:r>
        <w:t>V</w:t>
      </w:r>
      <w:r w:rsidR="00122B54">
        <w:t xml:space="preserve">äidetavalt erapooletu kalkulatsiooni </w:t>
      </w:r>
      <w:r w:rsidR="00AD2B8D">
        <w:t xml:space="preserve">kohaselt on </w:t>
      </w:r>
      <w:r>
        <w:t xml:space="preserve">LT77 </w:t>
      </w:r>
      <w:r w:rsidR="004A706D">
        <w:t xml:space="preserve">ruutmeetri hind </w:t>
      </w:r>
      <w:r w:rsidR="004A706D" w:rsidRPr="00784923">
        <w:rPr>
          <w:b/>
          <w:bCs/>
        </w:rPr>
        <w:t>SEITSE korda odavam</w:t>
      </w:r>
      <w:r w:rsidR="004A706D">
        <w:t xml:space="preserve"> kui </w:t>
      </w:r>
      <w:r w:rsidR="004A706D" w:rsidRPr="002F2792">
        <w:rPr>
          <w:b/>
          <w:bCs/>
        </w:rPr>
        <w:t>kõige odavama</w:t>
      </w:r>
      <w:r w:rsidR="004A706D">
        <w:t xml:space="preserve"> tegelikkuses aset leidnud tehingu puhul. </w:t>
      </w:r>
      <w:r w:rsidR="00FC213F">
        <w:t>T</w:t>
      </w:r>
      <w:r w:rsidR="004A706D">
        <w:t xml:space="preserve">ähelepanuväärne vastutulek sundvõõrandamisest huvitatud osapoolele. </w:t>
      </w:r>
      <w:r w:rsidR="00784923">
        <w:t>Seejuures ei ole teada, mis</w:t>
      </w:r>
      <w:r>
        <w:t xml:space="preserve"> </w:t>
      </w:r>
      <w:r w:rsidR="00784923">
        <w:t xml:space="preserve">asjaoludel </w:t>
      </w:r>
      <w:r w:rsidR="00FC213F">
        <w:t>kõige odavam</w:t>
      </w:r>
      <w:r>
        <w:t xml:space="preserve"> </w:t>
      </w:r>
      <w:r w:rsidR="00FC213F">
        <w:t xml:space="preserve">tehing </w:t>
      </w:r>
      <w:r w:rsidR="00784923">
        <w:t xml:space="preserve">toimus </w:t>
      </w:r>
      <w:r w:rsidR="0003423E">
        <w:t xml:space="preserve">või missugused objekti eripärad just sellise hinna tingisid. </w:t>
      </w:r>
    </w:p>
    <w:p w14:paraId="1AD9BF05" w14:textId="77777777" w:rsidR="00AD2B8D" w:rsidRDefault="00A36420" w:rsidP="00C317A5">
      <w:pPr>
        <w:jc w:val="both"/>
      </w:pPr>
      <w:r>
        <w:t xml:space="preserve">Viimsi </w:t>
      </w:r>
      <w:r w:rsidR="00027E7E">
        <w:t xml:space="preserve">vallas tehtud </w:t>
      </w:r>
      <w:r w:rsidR="00324A49" w:rsidRPr="0003423E">
        <w:rPr>
          <w:b/>
          <w:bCs/>
        </w:rPr>
        <w:t xml:space="preserve">tehingute </w:t>
      </w:r>
      <w:r w:rsidR="00324A49" w:rsidRPr="00A36420">
        <w:rPr>
          <w:b/>
          <w:bCs/>
          <w:u w:val="single"/>
        </w:rPr>
        <w:t>keskmine</w:t>
      </w:r>
      <w:r w:rsidR="00324A49" w:rsidRPr="0003423E">
        <w:rPr>
          <w:b/>
          <w:bCs/>
        </w:rPr>
        <w:t xml:space="preserve"> hind on </w:t>
      </w:r>
      <w:r w:rsidR="00027E7E">
        <w:rPr>
          <w:b/>
          <w:bCs/>
        </w:rPr>
        <w:t xml:space="preserve">odavaimast </w:t>
      </w:r>
      <w:r w:rsidR="00324A49" w:rsidRPr="0003423E">
        <w:rPr>
          <w:b/>
          <w:bCs/>
        </w:rPr>
        <w:t xml:space="preserve">omakorda üle </w:t>
      </w:r>
      <w:r w:rsidR="00BC2868">
        <w:rPr>
          <w:b/>
          <w:bCs/>
        </w:rPr>
        <w:t xml:space="preserve">seitsme </w:t>
      </w:r>
      <w:r w:rsidR="00324A49" w:rsidRPr="0003423E">
        <w:rPr>
          <w:b/>
          <w:bCs/>
        </w:rPr>
        <w:t>korra kõrgem</w:t>
      </w:r>
      <w:r w:rsidR="00324A49">
        <w:t>. Seega</w:t>
      </w:r>
      <w:r>
        <w:t xml:space="preserve"> </w:t>
      </w:r>
      <w:r w:rsidR="00027E7E">
        <w:t xml:space="preserve">tegi </w:t>
      </w:r>
      <w:r w:rsidR="006F1298">
        <w:t xml:space="preserve">hindaja </w:t>
      </w:r>
      <w:r w:rsidR="00165F2B">
        <w:t xml:space="preserve">tellijale </w:t>
      </w:r>
      <w:r w:rsidR="00B15CB9">
        <w:t xml:space="preserve">kingituse, mis väljendub </w:t>
      </w:r>
      <w:r w:rsidR="006F1298">
        <w:t>LT</w:t>
      </w:r>
      <w:r w:rsidR="00B15CB9">
        <w:t>77</w:t>
      </w:r>
      <w:r w:rsidR="006F1298">
        <w:t>-le</w:t>
      </w:r>
      <w:r w:rsidR="00B15CB9">
        <w:t xml:space="preserve"> ligi 50 (</w:t>
      </w:r>
      <w:r w:rsidR="00B15CB9" w:rsidRPr="00B15CB9">
        <w:rPr>
          <w:b/>
          <w:bCs/>
        </w:rPr>
        <w:t>viiskümmend!</w:t>
      </w:r>
      <w:r w:rsidR="00B15CB9">
        <w:t xml:space="preserve">) korda väiksema väärtuse omistamises, võrreldes vallas toiminud tehingute – rõhutan, </w:t>
      </w:r>
      <w:r w:rsidR="00B15CB9" w:rsidRPr="00A36420">
        <w:rPr>
          <w:b/>
        </w:rPr>
        <w:t>sarnaste, s.o. elamumaa</w:t>
      </w:r>
      <w:r w:rsidR="00B15CB9">
        <w:t xml:space="preserve"> kinnistute – keskmisega.</w:t>
      </w:r>
      <w:r w:rsidR="00165F2B">
        <w:t xml:space="preserve"> </w:t>
      </w:r>
    </w:p>
    <w:p w14:paraId="2E81E5E1" w14:textId="3B559E84" w:rsidR="00A93959" w:rsidRDefault="00B15CB9" w:rsidP="00C317A5">
      <w:pPr>
        <w:jc w:val="both"/>
      </w:pPr>
      <w:r>
        <w:t>Ü</w:t>
      </w:r>
      <w:r w:rsidR="00AD2B8D">
        <w:t>limalt tähelepanuväärne</w:t>
      </w:r>
      <w:r>
        <w:t xml:space="preserve"> on – seda siis hindaja erapooletuse kontekstis -</w:t>
      </w:r>
      <w:r w:rsidR="00AD2B8D">
        <w:t xml:space="preserve"> et </w:t>
      </w:r>
      <w:r w:rsidR="004A706D">
        <w:t>võrdlus</w:t>
      </w:r>
      <w:r>
        <w:t>se</w:t>
      </w:r>
      <w:r w:rsidR="004A706D">
        <w:t xml:space="preserve"> </w:t>
      </w:r>
      <w:r>
        <w:t>haara</w:t>
      </w:r>
      <w:r w:rsidR="006F1298">
        <w:t xml:space="preserve">ti </w:t>
      </w:r>
      <w:r w:rsidR="004A706D">
        <w:t xml:space="preserve">kolm </w:t>
      </w:r>
      <w:r w:rsidR="00A36420">
        <w:t xml:space="preserve">ehitusõiguseta </w:t>
      </w:r>
      <w:r w:rsidR="004A706D" w:rsidRPr="00B15CB9">
        <w:rPr>
          <w:b/>
          <w:bCs/>
        </w:rPr>
        <w:t>maatulundusmaad</w:t>
      </w:r>
      <w:r w:rsidR="004A706D">
        <w:t xml:space="preserve">, </w:t>
      </w:r>
      <w:r w:rsidR="00A36420">
        <w:t xml:space="preserve">sh teistest omavalitsustest, </w:t>
      </w:r>
      <w:r w:rsidR="004A706D">
        <w:t xml:space="preserve">kuigi hinnatava kinnistu sihtotstarbeks </w:t>
      </w:r>
      <w:r w:rsidR="006F1298">
        <w:t xml:space="preserve">on </w:t>
      </w:r>
      <w:r w:rsidR="004A706D" w:rsidRPr="00624FFC">
        <w:rPr>
          <w:b/>
          <w:bCs/>
        </w:rPr>
        <w:t>elamumaa</w:t>
      </w:r>
      <w:r w:rsidR="006F1298">
        <w:t xml:space="preserve">, seejuures </w:t>
      </w:r>
      <w:r w:rsidR="004A706D">
        <w:t xml:space="preserve">hoonestatud </w:t>
      </w:r>
      <w:r w:rsidR="00A93959">
        <w:t xml:space="preserve">ning võrrelda </w:t>
      </w:r>
      <w:r w:rsidR="006F1298">
        <w:t xml:space="preserve">tuleb </w:t>
      </w:r>
      <w:r w:rsidR="00A93959">
        <w:t>sarnaseid</w:t>
      </w:r>
      <w:r w:rsidR="006F1298">
        <w:t xml:space="preserve"> tehinguid/kinnistuid</w:t>
      </w:r>
      <w:r w:rsidR="00A93959">
        <w:t xml:space="preserve">. </w:t>
      </w:r>
    </w:p>
    <w:p w14:paraId="485CB205" w14:textId="3BD6132C" w:rsidR="00F623FB" w:rsidRDefault="008050CF" w:rsidP="00C317A5">
      <w:pPr>
        <w:jc w:val="both"/>
      </w:pPr>
      <w:r>
        <w:t xml:space="preserve">Omaette küsimus on, miks hindas hindaja </w:t>
      </w:r>
      <w:r w:rsidR="005433AE">
        <w:t>võrdlustabelis</w:t>
      </w:r>
      <w:r w:rsidR="004A706D">
        <w:t xml:space="preserve"> </w:t>
      </w:r>
      <w:r w:rsidR="004A706D" w:rsidRPr="00A93959">
        <w:rPr>
          <w:b/>
          <w:bCs/>
        </w:rPr>
        <w:t>elamumaa vaid viis protsenti väärtuslikumaks</w:t>
      </w:r>
      <w:r w:rsidR="004A706D">
        <w:t xml:space="preserve"> kui maatulundusmaa.</w:t>
      </w:r>
      <w:r>
        <w:t xml:space="preserve"> </w:t>
      </w:r>
      <w:r w:rsidR="004A706D">
        <w:t xml:space="preserve">Avalikest allikatest nähtub, et </w:t>
      </w:r>
      <w:r w:rsidR="003B35D3">
        <w:t>(</w:t>
      </w:r>
      <w:r w:rsidR="00A30FF2">
        <w:t xml:space="preserve">näiteks </w:t>
      </w:r>
      <w:r w:rsidR="003B35D3">
        <w:t xml:space="preserve">2024.a. tehingutes lähtudes) elamumaa tehingute puhul </w:t>
      </w:r>
      <w:r w:rsidR="00A30FF2">
        <w:t xml:space="preserve">on </w:t>
      </w:r>
      <w:r w:rsidR="003B35D3">
        <w:t xml:space="preserve">keskmine hind 91 eurot ruutmeeter, maatulundusmaa puhul 7 eurot ruutmeeter. See tähendab, et keskmisest ruutmeetri hinnast lähtudes on </w:t>
      </w:r>
      <w:r w:rsidR="003B35D3" w:rsidRPr="00A30FF2">
        <w:t>elamumaa ja maatulundusmaa väärtuste vahe</w:t>
      </w:r>
      <w:r w:rsidR="003B35D3">
        <w:t xml:space="preserve"> </w:t>
      </w:r>
      <w:r w:rsidR="003B35D3" w:rsidRPr="00A30FF2">
        <w:rPr>
          <w:b/>
          <w:bCs/>
        </w:rPr>
        <w:t>mitte 5 protsenti</w:t>
      </w:r>
      <w:r w:rsidR="003B35D3">
        <w:t xml:space="preserve">, vaid </w:t>
      </w:r>
      <w:r w:rsidR="003B35D3" w:rsidRPr="00A30FF2">
        <w:rPr>
          <w:b/>
          <w:bCs/>
        </w:rPr>
        <w:t>13 korda</w:t>
      </w:r>
      <w:r w:rsidR="003B35D3">
        <w:t xml:space="preserve"> ehk </w:t>
      </w:r>
      <w:r w:rsidR="00A30FF2">
        <w:t xml:space="preserve">üle </w:t>
      </w:r>
      <w:r w:rsidR="003B35D3" w:rsidRPr="003B35D3">
        <w:rPr>
          <w:b/>
          <w:bCs/>
        </w:rPr>
        <w:t>1</w:t>
      </w:r>
      <w:r w:rsidR="00A30FF2">
        <w:rPr>
          <w:b/>
          <w:bCs/>
        </w:rPr>
        <w:t>0</w:t>
      </w:r>
      <w:r w:rsidR="003B35D3" w:rsidRPr="003B35D3">
        <w:rPr>
          <w:b/>
          <w:bCs/>
        </w:rPr>
        <w:t>00 protsen</w:t>
      </w:r>
      <w:r w:rsidR="00A30FF2">
        <w:rPr>
          <w:b/>
          <w:bCs/>
        </w:rPr>
        <w:t>d</w:t>
      </w:r>
      <w:r w:rsidR="003B35D3" w:rsidRPr="003B35D3">
        <w:rPr>
          <w:b/>
          <w:bCs/>
        </w:rPr>
        <w:t>i</w:t>
      </w:r>
      <w:r w:rsidR="003B35D3">
        <w:t xml:space="preserve">! Teisisõnu, </w:t>
      </w:r>
      <w:r>
        <w:t xml:space="preserve">hindaja tegi </w:t>
      </w:r>
      <w:r w:rsidR="003B35D3">
        <w:t xml:space="preserve">tellija huvides </w:t>
      </w:r>
      <w:r w:rsidR="008E35EE">
        <w:t xml:space="preserve">üle </w:t>
      </w:r>
      <w:r w:rsidR="003B35D3" w:rsidRPr="005433AE">
        <w:rPr>
          <w:b/>
          <w:bCs/>
        </w:rPr>
        <w:t>2</w:t>
      </w:r>
      <w:r w:rsidR="008E35EE" w:rsidRPr="005433AE">
        <w:rPr>
          <w:b/>
          <w:bCs/>
        </w:rPr>
        <w:t>0</w:t>
      </w:r>
      <w:r w:rsidR="003B35D3" w:rsidRPr="005433AE">
        <w:rPr>
          <w:b/>
          <w:bCs/>
        </w:rPr>
        <w:t>0 kor</w:t>
      </w:r>
      <w:r w:rsidR="008E35EE" w:rsidRPr="005433AE">
        <w:rPr>
          <w:b/>
          <w:bCs/>
        </w:rPr>
        <w:t>r</w:t>
      </w:r>
      <w:r w:rsidR="003B35D3" w:rsidRPr="005433AE">
        <w:rPr>
          <w:b/>
          <w:bCs/>
        </w:rPr>
        <w:t>a soodsama „tehte“</w:t>
      </w:r>
      <w:r w:rsidR="003B35D3">
        <w:t xml:space="preserve">. </w:t>
      </w:r>
      <w:r w:rsidR="008E35EE">
        <w:t xml:space="preserve">Kuigi hindamisaruanne peab olema </w:t>
      </w:r>
      <w:r w:rsidR="008E35EE" w:rsidRPr="008E35EE">
        <w:rPr>
          <w:i/>
          <w:iCs/>
        </w:rPr>
        <w:t>selge</w:t>
      </w:r>
      <w:r w:rsidR="008E35EE">
        <w:t>, jä</w:t>
      </w:r>
      <w:r>
        <w:t>i</w:t>
      </w:r>
      <w:r w:rsidR="008E35EE">
        <w:t xml:space="preserve"> ebaselgeks, millest </w:t>
      </w:r>
      <w:r w:rsidR="00A10892">
        <w:t xml:space="preserve">tuleneb </w:t>
      </w:r>
      <w:r w:rsidR="008E35EE">
        <w:t>niisugune erinevus</w:t>
      </w:r>
      <w:r w:rsidR="00CE07D6">
        <w:t xml:space="preserve">, mida </w:t>
      </w:r>
      <w:r w:rsidR="00A10892">
        <w:t xml:space="preserve">võib </w:t>
      </w:r>
      <w:r w:rsidR="003B35D3">
        <w:t>nimetada manipulatsiooniks</w:t>
      </w:r>
      <w:r w:rsidR="00CE07D6">
        <w:t xml:space="preserve"> või teadlikuks huvitatud osapoolele soodustuse tegemiseks</w:t>
      </w:r>
      <w:r w:rsidR="00A10892">
        <w:t>.</w:t>
      </w:r>
      <w:r w:rsidR="00CE07D6">
        <w:t xml:space="preserve"> </w:t>
      </w:r>
    </w:p>
    <w:p w14:paraId="1EAA5F7F" w14:textId="77777777" w:rsidR="00F623FB" w:rsidRDefault="00F623FB">
      <w:r>
        <w:br w:type="page"/>
      </w:r>
    </w:p>
    <w:p w14:paraId="27263605" w14:textId="54E048CC" w:rsidR="00D3364C" w:rsidRPr="00D3364C" w:rsidRDefault="00D3364C" w:rsidP="00F32FA3">
      <w:pPr>
        <w:rPr>
          <w:b/>
          <w:bCs/>
        </w:rPr>
      </w:pPr>
      <w:r w:rsidRPr="00D3364C">
        <w:rPr>
          <w:b/>
          <w:bCs/>
        </w:rPr>
        <w:lastRenderedPageBreak/>
        <w:t>II nn „Lisa“</w:t>
      </w:r>
    </w:p>
    <w:p w14:paraId="7FF32D3D" w14:textId="4FEB64A8" w:rsidR="00C94A90" w:rsidRDefault="008050CF" w:rsidP="00C317A5">
      <w:pPr>
        <w:jc w:val="both"/>
      </w:pPr>
      <w:r>
        <w:t xml:space="preserve">Kui LT77 omanik suutis </w:t>
      </w:r>
      <w:r w:rsidR="003B35D3">
        <w:t xml:space="preserve">vallavalitsust </w:t>
      </w:r>
      <w:r w:rsidR="003B37EB">
        <w:t>veenda, et neil (</w:t>
      </w:r>
      <w:r w:rsidR="00A36420">
        <w:t xml:space="preserve">s.t. </w:t>
      </w:r>
      <w:r>
        <w:t>hindajal</w:t>
      </w:r>
      <w:r w:rsidR="003B37EB">
        <w:t xml:space="preserve">) </w:t>
      </w:r>
      <w:r w:rsidR="00C94A90">
        <w:t xml:space="preserve">polnud õigust </w:t>
      </w:r>
      <w:r w:rsidR="003B37EB">
        <w:t xml:space="preserve">maa väärtust hinnates lähtuda </w:t>
      </w:r>
      <w:proofErr w:type="spellStart"/>
      <w:r w:rsidR="003B37EB">
        <w:t>APEKi</w:t>
      </w:r>
      <w:proofErr w:type="spellEnd"/>
      <w:r w:rsidR="00F623FB">
        <w:t xml:space="preserve"> kehtivusest</w:t>
      </w:r>
      <w:r w:rsidR="003B37EB">
        <w:t xml:space="preserve">, </w:t>
      </w:r>
      <w:r>
        <w:t xml:space="preserve">tellis VV </w:t>
      </w:r>
      <w:r w:rsidR="003B37EB">
        <w:t xml:space="preserve">uue hinnangu. On tähelepanuväärne, et </w:t>
      </w:r>
      <w:r w:rsidR="00C94A90">
        <w:t xml:space="preserve">kuigi VV oli sõlminud lepingu </w:t>
      </w:r>
      <w:proofErr w:type="spellStart"/>
      <w:r w:rsidR="00F231BA">
        <w:t>AS</w:t>
      </w:r>
      <w:r w:rsidR="00C94A90">
        <w:t>-ga</w:t>
      </w:r>
      <w:proofErr w:type="spellEnd"/>
      <w:r w:rsidR="00C94A90">
        <w:t xml:space="preserve"> Ober</w:t>
      </w:r>
      <w:r w:rsidR="00F231BA">
        <w:t>-</w:t>
      </w:r>
      <w:r w:rsidR="00C94A90">
        <w:t xml:space="preserve">Haus, vormistas uue hinnangu sama hindaja, </w:t>
      </w:r>
      <w:r w:rsidR="00F623FB">
        <w:t xml:space="preserve">kes </w:t>
      </w:r>
      <w:r w:rsidR="00C94A90">
        <w:t xml:space="preserve">töötas </w:t>
      </w:r>
      <w:r w:rsidR="00A36420">
        <w:t xml:space="preserve">sellal </w:t>
      </w:r>
      <w:r w:rsidR="00C94A90">
        <w:t xml:space="preserve">juba </w:t>
      </w:r>
      <w:r w:rsidR="00F231BA">
        <w:t xml:space="preserve">OÜ-s </w:t>
      </w:r>
      <w:r w:rsidR="00C94A90">
        <w:t xml:space="preserve">Lahe Kinnisvara. </w:t>
      </w:r>
      <w:r w:rsidR="00A36420">
        <w:t xml:space="preserve">Kas see </w:t>
      </w:r>
      <w:r w:rsidR="00C94A90">
        <w:t xml:space="preserve">asjaolu </w:t>
      </w:r>
      <w:r w:rsidR="00A36420">
        <w:t xml:space="preserve">võib kõneleda </w:t>
      </w:r>
      <w:r w:rsidR="00C94A90">
        <w:t>konkreetse hindaja ja VV spetsiifilistest suhetest (mis selgitaks paljusid hindamise käigus tehtud „minetusi“)</w:t>
      </w:r>
      <w:r w:rsidR="00A36420">
        <w:t>?</w:t>
      </w:r>
      <w:r w:rsidR="00C94A90">
        <w:t xml:space="preserve"> </w:t>
      </w:r>
    </w:p>
    <w:p w14:paraId="2F1B6BAE" w14:textId="63C42FEE" w:rsidR="003B37EB" w:rsidRDefault="00A36420" w:rsidP="00C317A5">
      <w:pPr>
        <w:jc w:val="both"/>
      </w:pPr>
      <w:r>
        <w:t xml:space="preserve">Millegipärast on hindaja vormistanud mitte uue hinnangu, vaid „lisa“, mida nimetatakse kirjavahetuses ka „konsultatsiooniks“, kuigi tõdemus, et APEKi arvestamine on otseselt lubamatu ja õigusvastane, oleks pidanud tingima pea kõigi asjaolude ümberhindamise. Hindaja on </w:t>
      </w:r>
      <w:r w:rsidRPr="00A36420">
        <w:rPr>
          <w:b/>
          <w:u w:val="single"/>
        </w:rPr>
        <w:t>ise</w:t>
      </w:r>
      <w:r>
        <w:t xml:space="preserve"> </w:t>
      </w:r>
      <w:r w:rsidR="00F623FB">
        <w:t>H</w:t>
      </w:r>
      <w:r>
        <w:t xml:space="preserve">innangus </w:t>
      </w:r>
      <w:r w:rsidR="003B37EB">
        <w:t>mär</w:t>
      </w:r>
      <w:r>
        <w:t>kin</w:t>
      </w:r>
      <w:r w:rsidR="003B37EB">
        <w:t>ud:</w:t>
      </w:r>
      <w:r w:rsidR="00BC4A3C">
        <w:t xml:space="preserve"> </w:t>
      </w:r>
      <w:r w:rsidR="003B37EB">
        <w:t>„</w:t>
      </w:r>
      <w:r w:rsidR="00F623FB">
        <w:t>K</w:t>
      </w:r>
      <w:r w:rsidR="003B37EB" w:rsidRPr="003B37EB">
        <w:t xml:space="preserve">ui tulevikus peaks maaüksuse osas ehitus- ja planeerimiskeeld tühistatama, on hinnatava vara </w:t>
      </w:r>
      <w:r w:rsidR="003B37EB" w:rsidRPr="00BC4A3C">
        <w:rPr>
          <w:b/>
          <w:bCs/>
        </w:rPr>
        <w:t>olemuseks</w:t>
      </w:r>
      <w:r w:rsidR="003B37EB" w:rsidRPr="003B37EB">
        <w:t xml:space="preserve"> midagi muud ning sellisel juhul tuleks hindamisel vara olemusest tulenevalt tehingute valim üle vaadata ning sellisel juhul ei pruugi käesolevas hindamises hinnatud väärtus olla asjakohane</w:t>
      </w:r>
      <w:r w:rsidR="003B37EB">
        <w:t>.“</w:t>
      </w:r>
      <w:r w:rsidR="006D2A38">
        <w:t xml:space="preserve"> </w:t>
      </w:r>
    </w:p>
    <w:p w14:paraId="4E73E591" w14:textId="77777777" w:rsidR="003B37EB" w:rsidRDefault="00BC4A3C" w:rsidP="00C317A5">
      <w:pPr>
        <w:jc w:val="both"/>
      </w:pPr>
      <w:r>
        <w:t xml:space="preserve">„Lisas“ </w:t>
      </w:r>
      <w:r w:rsidR="0075776C">
        <w:t>vääri</w:t>
      </w:r>
      <w:r w:rsidR="00A36420">
        <w:t xml:space="preserve">b tähelepanu </w:t>
      </w:r>
      <w:r w:rsidR="0075776C">
        <w:t>järgmi</w:t>
      </w:r>
      <w:r w:rsidR="00A36420">
        <w:t>ne:</w:t>
      </w:r>
      <w:r w:rsidR="0075776C">
        <w:t xml:space="preserve"> </w:t>
      </w:r>
    </w:p>
    <w:p w14:paraId="4F3AD074" w14:textId="1FFCBCCF" w:rsidR="00BC4A3C" w:rsidRDefault="0075776C" w:rsidP="00C317A5">
      <w:pPr>
        <w:jc w:val="both"/>
      </w:pPr>
      <w:r>
        <w:t xml:space="preserve">Taaskord </w:t>
      </w:r>
      <w:r w:rsidR="00CC4FF4">
        <w:t xml:space="preserve">pole võrdlusesse </w:t>
      </w:r>
      <w:r w:rsidR="00C94A90">
        <w:t xml:space="preserve">haaratud </w:t>
      </w:r>
      <w:r w:rsidR="00CC4FF4" w:rsidRPr="00C94A90">
        <w:rPr>
          <w:b/>
        </w:rPr>
        <w:t>ainsatki</w:t>
      </w:r>
      <w:r w:rsidR="00CC4FF4">
        <w:t xml:space="preserve"> </w:t>
      </w:r>
      <w:r w:rsidR="0052425F">
        <w:t>Viimsi vallas elamumaaga tehtud tehingut, kuigi seadusest lähtudes tulnuks seda teha</w:t>
      </w:r>
      <w:r w:rsidR="00BD20DD">
        <w:t xml:space="preserve"> („</w:t>
      </w:r>
      <w:r w:rsidR="00BD20DD" w:rsidRPr="00BD20DD">
        <w:t xml:space="preserve">Müügitehingute analüüsil hinnatakse väärtus </w:t>
      </w:r>
      <w:r w:rsidR="00BD20DD" w:rsidRPr="00BD20DD">
        <w:rPr>
          <w:b/>
          <w:bCs/>
        </w:rPr>
        <w:t>hinnatava kinnisasjaga sarnaste</w:t>
      </w:r>
      <w:r w:rsidR="00BD20DD" w:rsidRPr="00BD20DD">
        <w:t xml:space="preserve"> tehingute võrdlemisel, kasutades maakatastri tehingute andmebaasi tehinguid, maa korralise hindamise tulemusi ja metoodikat, avalikke andmeallikaid toimunud tehingute ja pakkumiste infoga, avalikke turuanalüüse ja muud teadaolevat infot</w:t>
      </w:r>
      <w:r w:rsidR="00BD20DD">
        <w:t>“).</w:t>
      </w:r>
      <w:r w:rsidR="0052425F">
        <w:t xml:space="preserve"> </w:t>
      </w:r>
      <w:r w:rsidR="00BD20DD">
        <w:t>A</w:t>
      </w:r>
      <w:r w:rsidR="0052425F">
        <w:t xml:space="preserve">valikest andmetest nähtuvalt on </w:t>
      </w:r>
      <w:r w:rsidR="00BD20DD">
        <w:t xml:space="preserve">Viimsi vallas elamumaaga </w:t>
      </w:r>
      <w:r w:rsidR="0052425F">
        <w:t>tehinguid toimunud piisaval hulg</w:t>
      </w:r>
      <w:r w:rsidR="00BD20DD">
        <w:t>al</w:t>
      </w:r>
      <w:r w:rsidR="00DA110C">
        <w:t>.</w:t>
      </w:r>
      <w:r w:rsidR="00BC4A3C">
        <w:t xml:space="preserve"> </w:t>
      </w:r>
      <w:r w:rsidR="00F623FB">
        <w:t xml:space="preserve">Hindaja on võrdlusobjektide valikul lähtunud DP puudumisest, kuigi Viimsi valla üldplaneeringust nähtuvalt ei tähenda LT77 kui </w:t>
      </w:r>
      <w:proofErr w:type="spellStart"/>
      <w:r w:rsidR="00F623FB">
        <w:t>hajaasustuses</w:t>
      </w:r>
      <w:proofErr w:type="spellEnd"/>
      <w:r w:rsidR="00F623FB">
        <w:t xml:space="preserve"> asuva kinnistu puhul DP olemasolu ehitusõiguse puudumist. </w:t>
      </w:r>
    </w:p>
    <w:p w14:paraId="1E5BD7BF" w14:textId="14816ECE" w:rsidR="0075776C" w:rsidRDefault="00BC4A3C" w:rsidP="00C317A5">
      <w:pPr>
        <w:jc w:val="both"/>
      </w:pPr>
      <w:r>
        <w:t>Ka ei ole arusaadavalt</w:t>
      </w:r>
      <w:r w:rsidR="00C94A90">
        <w:t xml:space="preserve"> esile toonud, mistarvis lähtuti</w:t>
      </w:r>
      <w:r>
        <w:t xml:space="preserve"> võrdlusobjektide valimisel võimalikult madala hinnaga tehingutest, kuigi </w:t>
      </w:r>
      <w:r w:rsidR="00C94A90">
        <w:t xml:space="preserve">leida tulnuks </w:t>
      </w:r>
      <w:r w:rsidRPr="00F95605">
        <w:rPr>
          <w:i/>
          <w:iCs/>
        </w:rPr>
        <w:t>keskmi</w:t>
      </w:r>
      <w:r w:rsidR="00C94A90">
        <w:rPr>
          <w:i/>
          <w:iCs/>
        </w:rPr>
        <w:t>n</w:t>
      </w:r>
      <w:r w:rsidRPr="00F95605">
        <w:rPr>
          <w:i/>
          <w:iCs/>
        </w:rPr>
        <w:t>e</w:t>
      </w:r>
      <w:r w:rsidR="00C94A90">
        <w:t xml:space="preserve"> turuväärtus</w:t>
      </w:r>
      <w:r>
        <w:t xml:space="preserve"> ehk siis lähtuma </w:t>
      </w:r>
      <w:r w:rsidRPr="00105D14">
        <w:rPr>
          <w:i/>
          <w:iCs/>
        </w:rPr>
        <w:t>keskmistest</w:t>
      </w:r>
      <w:r>
        <w:t xml:space="preserve"> tehingutest (või äärmisel juhul arusaadavalt selgitama, miks on vaja lähtuda just kõige odavamatest tehingutest).</w:t>
      </w:r>
    </w:p>
    <w:p w14:paraId="4470798D" w14:textId="77777777" w:rsidR="00352624" w:rsidRPr="00352624" w:rsidRDefault="00352624" w:rsidP="00C317A5">
      <w:pPr>
        <w:jc w:val="both"/>
        <w:rPr>
          <w:b/>
          <w:bCs/>
        </w:rPr>
      </w:pPr>
      <w:r w:rsidRPr="00352624">
        <w:rPr>
          <w:b/>
          <w:bCs/>
        </w:rPr>
        <w:t xml:space="preserve">III </w:t>
      </w:r>
      <w:r w:rsidR="00B10346">
        <w:rPr>
          <w:b/>
          <w:bCs/>
        </w:rPr>
        <w:t>22.02.2026</w:t>
      </w:r>
      <w:r w:rsidRPr="00352624">
        <w:rPr>
          <w:b/>
          <w:bCs/>
        </w:rPr>
        <w:t xml:space="preserve"> allkirjastatud eksperthinnang</w:t>
      </w:r>
      <w:r w:rsidR="00247940">
        <w:rPr>
          <w:b/>
          <w:bCs/>
        </w:rPr>
        <w:t xml:space="preserve"> 0305-26</w:t>
      </w:r>
      <w:r w:rsidRPr="00352624">
        <w:rPr>
          <w:b/>
          <w:bCs/>
        </w:rPr>
        <w:t xml:space="preserve"> (edaspidi: Hinnang 2)</w:t>
      </w:r>
    </w:p>
    <w:p w14:paraId="29F3F4C9" w14:textId="13111D67" w:rsidR="002309C1" w:rsidRDefault="00C94A90" w:rsidP="00C317A5">
      <w:pPr>
        <w:jc w:val="both"/>
      </w:pPr>
      <w:r>
        <w:t xml:space="preserve">LT77 omanik </w:t>
      </w:r>
      <w:r w:rsidR="00B94DEF">
        <w:t xml:space="preserve">võttis </w:t>
      </w:r>
      <w:r>
        <w:t xml:space="preserve">hindajaga ühendust, et paari </w:t>
      </w:r>
      <w:r w:rsidR="00F623FB">
        <w:t xml:space="preserve">ilmselgelt kahtlast </w:t>
      </w:r>
      <w:r>
        <w:t>nüanssi täpsustada</w:t>
      </w:r>
      <w:r w:rsidR="00B94DEF">
        <w:t>. H</w:t>
      </w:r>
      <w:r>
        <w:t xml:space="preserve">indaja </w:t>
      </w:r>
      <w:r w:rsidR="00B94DEF" w:rsidRPr="00B94DEF">
        <w:rPr>
          <w:b/>
        </w:rPr>
        <w:t xml:space="preserve">palus </w:t>
      </w:r>
      <w:r w:rsidRPr="00B94DEF">
        <w:rPr>
          <w:b/>
        </w:rPr>
        <w:t>omaniku käest vabandust</w:t>
      </w:r>
      <w:r>
        <w:t xml:space="preserve"> ja lubas</w:t>
      </w:r>
      <w:r w:rsidR="00DA110C">
        <w:t xml:space="preserve"> </w:t>
      </w:r>
      <w:r w:rsidR="00B94DEF">
        <w:t xml:space="preserve">tehtud </w:t>
      </w:r>
      <w:r w:rsidR="00DA110C">
        <w:t>vead</w:t>
      </w:r>
      <w:r>
        <w:t xml:space="preserve"> heastada ning tegi kiiresti järjekordse hinnangu</w:t>
      </w:r>
      <w:r w:rsidR="00DA110C">
        <w:t xml:space="preserve">. </w:t>
      </w:r>
      <w:r w:rsidR="00015EA2">
        <w:t>Hinnang</w:t>
      </w:r>
      <w:r w:rsidR="00B94DEF">
        <w:t xml:space="preserve"> 2-</w:t>
      </w:r>
      <w:r w:rsidR="00015EA2">
        <w:t xml:space="preserve">st </w:t>
      </w:r>
      <w:r w:rsidR="00DA110C">
        <w:t xml:space="preserve">selgub, </w:t>
      </w:r>
      <w:r w:rsidR="00015EA2">
        <w:t xml:space="preserve">et </w:t>
      </w:r>
      <w:r w:rsidR="00DA110C">
        <w:t xml:space="preserve">kogu </w:t>
      </w:r>
      <w:r w:rsidR="00993789">
        <w:t>„</w:t>
      </w:r>
      <w:r w:rsidR="00DA110C">
        <w:t>heastamine</w:t>
      </w:r>
      <w:r w:rsidR="00993789">
        <w:t>“</w:t>
      </w:r>
      <w:r w:rsidR="00DA110C">
        <w:t xml:space="preserve"> </w:t>
      </w:r>
      <w:r w:rsidR="00015EA2">
        <w:t xml:space="preserve">seisnes </w:t>
      </w:r>
      <w:r w:rsidR="00DA110C">
        <w:t xml:space="preserve">kolmest </w:t>
      </w:r>
      <w:r w:rsidR="00B94DEF">
        <w:t xml:space="preserve">„Lisas“ käsitletud </w:t>
      </w:r>
      <w:r w:rsidR="00DA110C">
        <w:t xml:space="preserve">võrdlustehingust kõige </w:t>
      </w:r>
      <w:r w:rsidR="00015EA2">
        <w:t xml:space="preserve">väärtuslikuma </w:t>
      </w:r>
      <w:r w:rsidR="00DA110C">
        <w:t>elimineerimises</w:t>
      </w:r>
      <w:r w:rsidR="00B94DEF">
        <w:t xml:space="preserve"> </w:t>
      </w:r>
      <w:r w:rsidR="00015EA2">
        <w:t>(</w:t>
      </w:r>
      <w:r w:rsidR="00993789">
        <w:t xml:space="preserve">ehk töö tellijale </w:t>
      </w:r>
      <w:r w:rsidR="00105D14">
        <w:t xml:space="preserve">järjekordse </w:t>
      </w:r>
      <w:r w:rsidR="00993789">
        <w:t>soodustuse tegemises</w:t>
      </w:r>
      <w:r w:rsidR="00015EA2">
        <w:t>)</w:t>
      </w:r>
      <w:r w:rsidR="00993789">
        <w:t xml:space="preserve">. </w:t>
      </w:r>
      <w:r w:rsidR="002309C1">
        <w:t>Tähelepanuväärne on seegi, et Hinnang</w:t>
      </w:r>
      <w:r w:rsidR="00B94DEF">
        <w:t xml:space="preserve"> </w:t>
      </w:r>
      <w:r w:rsidR="002309C1">
        <w:t>2</w:t>
      </w:r>
      <w:r w:rsidR="00B94DEF">
        <w:t>-st</w:t>
      </w:r>
      <w:r w:rsidR="002309C1">
        <w:t xml:space="preserve"> leidub kaks erinevat versiooni – </w:t>
      </w:r>
      <w:r w:rsidR="00015EA2">
        <w:t xml:space="preserve">üks </w:t>
      </w:r>
      <w:r w:rsidR="002309C1">
        <w:t>allkirjastanud 22. veebruaril, tei</w:t>
      </w:r>
      <w:r w:rsidR="00015EA2">
        <w:t>n</w:t>
      </w:r>
      <w:r w:rsidR="002309C1">
        <w:t>e 3. märtsil</w:t>
      </w:r>
      <w:r w:rsidR="00F623FB">
        <w:t xml:space="preserve"> (ilmselt pärast tellijalt uue sisendi saamist)</w:t>
      </w:r>
      <w:r w:rsidR="002309C1">
        <w:t xml:space="preserve">. </w:t>
      </w:r>
    </w:p>
    <w:p w14:paraId="0F027F57" w14:textId="3DC76378" w:rsidR="00DA110C" w:rsidRDefault="00993789" w:rsidP="00C317A5">
      <w:pPr>
        <w:jc w:val="both"/>
      </w:pPr>
      <w:r>
        <w:lastRenderedPageBreak/>
        <w:t xml:space="preserve">Kuigi </w:t>
      </w:r>
      <w:r w:rsidR="00DA110C">
        <w:t xml:space="preserve">APEK kaotas detsembris 2025 kehtivuse, </w:t>
      </w:r>
      <w:r w:rsidR="00015EA2">
        <w:t>viitab hindaja sellele jätkuvalt ja valib</w:t>
      </w:r>
      <w:r w:rsidR="00DA110C">
        <w:t xml:space="preserve"> võrdlusse endiselt tehinguid, mis </w:t>
      </w:r>
      <w:r w:rsidR="00DA110C" w:rsidRPr="00993789">
        <w:rPr>
          <w:b/>
          <w:bCs/>
        </w:rPr>
        <w:t>ei sarnane</w:t>
      </w:r>
      <w:r w:rsidR="00DA110C">
        <w:t xml:space="preserve"> hinnatava kinnistuga. </w:t>
      </w:r>
      <w:r w:rsidR="00F32FA3">
        <w:t xml:space="preserve">Võrdluseks on valitud varad (hindaja põhjendus), millel </w:t>
      </w:r>
      <w:r w:rsidR="00F32FA3" w:rsidRPr="00F32FA3">
        <w:rPr>
          <w:b/>
          <w:bCs/>
        </w:rPr>
        <w:t>puudub ehitusõigus</w:t>
      </w:r>
      <w:r w:rsidR="00F32FA3">
        <w:t xml:space="preserve">. </w:t>
      </w:r>
      <w:r w:rsidR="0064011C">
        <w:t xml:space="preserve">Kolmest </w:t>
      </w:r>
      <w:r w:rsidR="00684AD6">
        <w:t xml:space="preserve">võrdlusesse kaasatud kinnistust on hinnatava kinnistuga </w:t>
      </w:r>
      <w:r w:rsidR="00261CE3">
        <w:t xml:space="preserve">mingilgi määral </w:t>
      </w:r>
      <w:r w:rsidR="00684AD6">
        <w:t xml:space="preserve">sarnane vaid üks </w:t>
      </w:r>
      <w:r w:rsidR="00261CE3">
        <w:t>–</w:t>
      </w:r>
      <w:r w:rsidR="00684AD6">
        <w:t xml:space="preserve"> </w:t>
      </w:r>
      <w:r w:rsidR="00261CE3">
        <w:t xml:space="preserve">elamumaa Harku vallas, mille puhul nähtub võrdlustabelist, et </w:t>
      </w:r>
      <w:r w:rsidR="00015EA2">
        <w:t xml:space="preserve">hindaja on </w:t>
      </w:r>
      <w:r w:rsidR="00261CE3">
        <w:t xml:space="preserve">näinud ränka vaeva, et selle ruutmeetri hinda (18,3 eurot) </w:t>
      </w:r>
      <w:r w:rsidR="00015EA2">
        <w:t xml:space="preserve">LT77 </w:t>
      </w:r>
      <w:r w:rsidR="009D1F53">
        <w:t>väärtusest k</w:t>
      </w:r>
      <w:r w:rsidR="00015EA2">
        <w:t xml:space="preserve">õrgemana hoida. </w:t>
      </w:r>
      <w:r w:rsidR="00F623FB">
        <w:t>K</w:t>
      </w:r>
      <w:r w:rsidR="009D1F53">
        <w:t xml:space="preserve">una arusaamatutel põhjustel </w:t>
      </w:r>
      <w:r w:rsidR="00015EA2">
        <w:t xml:space="preserve">on võrdlusesse </w:t>
      </w:r>
      <w:r w:rsidR="009D1F53">
        <w:t xml:space="preserve">haaratud ka </w:t>
      </w:r>
      <w:r w:rsidR="00660DAF">
        <w:t xml:space="preserve">DP-ta </w:t>
      </w:r>
      <w:r w:rsidR="00E066AD">
        <w:t>maatulundusmaad</w:t>
      </w:r>
      <w:r w:rsidR="00F32FA3">
        <w:t xml:space="preserve"> teistest omavalitsustest</w:t>
      </w:r>
      <w:r w:rsidR="00660DAF">
        <w:t xml:space="preserve">, millel pole hinnatava kinnistuga </w:t>
      </w:r>
      <w:r w:rsidR="001E22CE">
        <w:t>mitte mingit sarnasust</w:t>
      </w:r>
      <w:r w:rsidR="00E066AD">
        <w:t xml:space="preserve">, </w:t>
      </w:r>
      <w:r w:rsidR="00015EA2">
        <w:t>kujunes</w:t>
      </w:r>
      <w:r w:rsidR="0042406A">
        <w:t xml:space="preserve"> </w:t>
      </w:r>
      <w:r w:rsidR="00015EA2">
        <w:t>LT77 „</w:t>
      </w:r>
      <w:r w:rsidR="0042406A">
        <w:t>väärtuseks</w:t>
      </w:r>
      <w:r w:rsidR="00015EA2">
        <w:t>“</w:t>
      </w:r>
      <w:r w:rsidR="0042406A">
        <w:t xml:space="preserve"> siiski üle kahe korra madalam hind (</w:t>
      </w:r>
      <w:r w:rsidR="0042406A" w:rsidRPr="0042406A">
        <w:rPr>
          <w:b/>
          <w:bCs/>
        </w:rPr>
        <w:t>18,3 versus 8 eurot</w:t>
      </w:r>
      <w:r w:rsidR="0042406A">
        <w:t>)!</w:t>
      </w:r>
      <w:r w:rsidR="00661536">
        <w:t xml:space="preserve"> </w:t>
      </w:r>
    </w:p>
    <w:p w14:paraId="6DDBE88C" w14:textId="77777777" w:rsidR="00B94DEF" w:rsidRDefault="00EF6A51" w:rsidP="00C317A5">
      <w:pPr>
        <w:jc w:val="both"/>
      </w:pPr>
      <w:r>
        <w:t xml:space="preserve">Lõpuks </w:t>
      </w:r>
      <w:r w:rsidR="00B94DEF">
        <w:t xml:space="preserve">on </w:t>
      </w:r>
      <w:r w:rsidR="00015EA2">
        <w:t xml:space="preserve">hindaja </w:t>
      </w:r>
      <w:r w:rsidR="00B94DEF">
        <w:t xml:space="preserve">vormistanud </w:t>
      </w:r>
      <w:r>
        <w:t xml:space="preserve">veel ühe, </w:t>
      </w:r>
      <w:r w:rsidRPr="00FC3C28">
        <w:rPr>
          <w:b/>
          <w:bCs/>
        </w:rPr>
        <w:t>03.</w:t>
      </w:r>
      <w:r w:rsidR="00015EA2">
        <w:rPr>
          <w:b/>
          <w:bCs/>
        </w:rPr>
        <w:t xml:space="preserve"> </w:t>
      </w:r>
      <w:r w:rsidRPr="00FC3C28">
        <w:rPr>
          <w:b/>
          <w:bCs/>
        </w:rPr>
        <w:t xml:space="preserve">märtsil allkirjastatud </w:t>
      </w:r>
      <w:r w:rsidR="009A1263" w:rsidRPr="00FC3C28">
        <w:rPr>
          <w:b/>
          <w:bCs/>
        </w:rPr>
        <w:t>hinnangu</w:t>
      </w:r>
      <w:r w:rsidR="009A1263">
        <w:t xml:space="preserve">, millest on eemaldatud ka see ainus, vähegi sarnane (olgugi et Harku vallas, kus </w:t>
      </w:r>
      <w:r w:rsidR="009A1263" w:rsidRPr="009A1263">
        <w:rPr>
          <w:b/>
          <w:bCs/>
        </w:rPr>
        <w:t>kinnisvara on odavam</w:t>
      </w:r>
      <w:r w:rsidR="009A1263">
        <w:t xml:space="preserve">) tehing ning selle asemel on võrdlusesse kaasatud </w:t>
      </w:r>
      <w:r w:rsidR="00F214BD">
        <w:t xml:space="preserve">18 000 ruutmeetrine </w:t>
      </w:r>
      <w:r w:rsidR="001E7B8C" w:rsidRPr="001E7B8C">
        <w:rPr>
          <w:b/>
          <w:bCs/>
        </w:rPr>
        <w:t>ehitusõiguseta maatulundusmaa</w:t>
      </w:r>
      <w:r w:rsidR="001E7B8C">
        <w:t xml:space="preserve"> Murastes (mida </w:t>
      </w:r>
      <w:r w:rsidR="00015EA2">
        <w:t>hindaja nimetab</w:t>
      </w:r>
      <w:r w:rsidR="001E7B8C">
        <w:t xml:space="preserve"> ka ise madalamalt hinnatud piirkonnaks) väärtusega 100 000 eurot, s.o. alla 6 euro/ruutmeeter. </w:t>
      </w:r>
      <w:r w:rsidR="00DC4D20">
        <w:t xml:space="preserve">Ehk taaskord </w:t>
      </w:r>
      <w:r w:rsidR="00B94DEF">
        <w:t>võrreldakse</w:t>
      </w:r>
      <w:r w:rsidR="00015EA2">
        <w:t xml:space="preserve"> </w:t>
      </w:r>
      <w:r w:rsidR="00DC4D20">
        <w:t>võrreldamatuid, puuduva ühisosaga kinnistuid, olles ometi teadlik, kui suur on elamumaa ja maatulundusmaa ruutmeetri hinna vahe</w:t>
      </w:r>
      <w:r w:rsidR="00B94DEF">
        <w:t>.</w:t>
      </w:r>
    </w:p>
    <w:p w14:paraId="287528B0" w14:textId="77777777" w:rsidR="00661536" w:rsidRDefault="0003319D" w:rsidP="00C317A5">
      <w:pPr>
        <w:jc w:val="both"/>
      </w:pPr>
      <w:r>
        <w:t>***</w:t>
      </w:r>
    </w:p>
    <w:p w14:paraId="31A6BC15" w14:textId="591EDFAB" w:rsidR="00015EA2" w:rsidRDefault="00015EA2" w:rsidP="00C317A5">
      <w:pPr>
        <w:jc w:val="both"/>
      </w:pPr>
      <w:r>
        <w:t xml:space="preserve">Kõigi hindamisdokumendite puhul jääb ühtviisi arusaamatuks, </w:t>
      </w:r>
      <w:r w:rsidRPr="00B94DEF">
        <w:rPr>
          <w:b/>
        </w:rPr>
        <w:t xml:space="preserve">miks lähtus hindaja </w:t>
      </w:r>
      <w:r w:rsidR="00F623FB">
        <w:rPr>
          <w:b/>
        </w:rPr>
        <w:t xml:space="preserve">eeldusest </w:t>
      </w:r>
      <w:r w:rsidR="00F623FB" w:rsidRPr="00F623FB">
        <w:rPr>
          <w:bCs/>
        </w:rPr>
        <w:t>(ja võrdlusobjektide valikul)</w:t>
      </w:r>
      <w:r w:rsidRPr="00B94DEF">
        <w:rPr>
          <w:b/>
        </w:rPr>
        <w:t>, et LT77 on hoonestamata</w:t>
      </w:r>
      <w:r>
        <w:t xml:space="preserve">. Arusaamatuks jääb ka, miks lähtus hindaja </w:t>
      </w:r>
      <w:r w:rsidR="00B94DEF" w:rsidRPr="00B94DEF">
        <w:rPr>
          <w:b/>
        </w:rPr>
        <w:t>positsioonist</w:t>
      </w:r>
      <w:r w:rsidR="00F623FB">
        <w:rPr>
          <w:b/>
        </w:rPr>
        <w:t xml:space="preserve"> </w:t>
      </w:r>
      <w:r w:rsidR="00F623FB" w:rsidRPr="00F623FB">
        <w:rPr>
          <w:bCs/>
        </w:rPr>
        <w:t>(ja võrdlusobjektide valikul)</w:t>
      </w:r>
      <w:r w:rsidRPr="00B94DEF">
        <w:rPr>
          <w:b/>
        </w:rPr>
        <w:t>, et LT77 oli hindamise ajal hoonestusõiguseta</w:t>
      </w:r>
      <w:r>
        <w:t>. Kumbki ei vasta tõele ja kui hoonestus</w:t>
      </w:r>
      <w:r w:rsidR="00F623FB">
        <w:t xml:space="preserve">e olemasolu on </w:t>
      </w:r>
      <w:r>
        <w:t xml:space="preserve">silmaga nähtav, siis hoonestusõiguse </w:t>
      </w:r>
      <w:r w:rsidR="00F623FB">
        <w:t xml:space="preserve">olemasolu </w:t>
      </w:r>
      <w:r>
        <w:t>oleks saanud ja tulnud paremini kontrollida</w:t>
      </w:r>
      <w:r w:rsidR="00F623FB">
        <w:t>, mitte lähtuda tellija poolt antud valeandmetest</w:t>
      </w:r>
      <w:r>
        <w:t xml:space="preserve">. </w:t>
      </w:r>
      <w:r w:rsidR="00B94DEF">
        <w:t>Hindaja ei võtnud kogu kirjeldatud saaga vältel kordagi LT77 omanikuga ühendust, et mistahes aspekte täpsustada.</w:t>
      </w:r>
      <w:r w:rsidR="00F32FA3">
        <w:t xml:space="preserve"> Küll leidub Hinnang2-s väide, et hindaja „pole omanikuga kontakti saanud.“</w:t>
      </w:r>
    </w:p>
    <w:p w14:paraId="648A4ACB" w14:textId="77777777" w:rsidR="00015EA2" w:rsidRDefault="00015EA2" w:rsidP="00C317A5">
      <w:pPr>
        <w:jc w:val="both"/>
      </w:pPr>
      <w:r>
        <w:t xml:space="preserve">Näiteks </w:t>
      </w:r>
      <w:r w:rsidR="00B94DEF">
        <w:t xml:space="preserve">on </w:t>
      </w:r>
      <w:r>
        <w:t xml:space="preserve">VV esindaja </w:t>
      </w:r>
      <w:r w:rsidR="00B94DEF">
        <w:t xml:space="preserve">esitanud </w:t>
      </w:r>
      <w:r>
        <w:t>hindajale</w:t>
      </w:r>
      <w:r w:rsidR="0090664D">
        <w:t xml:space="preserve"> valeandmeid</w:t>
      </w:r>
      <w:r>
        <w:t xml:space="preserve">, et kehtiv üldplaneering </w:t>
      </w:r>
      <w:r w:rsidR="0090664D">
        <w:t xml:space="preserve">lubab kõnealusele kinnistule ehitada </w:t>
      </w:r>
      <w:r w:rsidR="0090664D" w:rsidRPr="00F623FB">
        <w:rPr>
          <w:b/>
          <w:bCs/>
        </w:rPr>
        <w:t>üksnes</w:t>
      </w:r>
      <w:r w:rsidR="0090664D">
        <w:t xml:space="preserve"> detailplaneeringu alusel. Selle asemel, et üldplaneeringuga tutvuda ja veenduda, et </w:t>
      </w:r>
      <w:r w:rsidR="0090664D" w:rsidRPr="00B94DEF">
        <w:rPr>
          <w:b/>
        </w:rPr>
        <w:t>hajaasustuses DP ei nõuta</w:t>
      </w:r>
      <w:r w:rsidR="0090664D">
        <w:t>, usaldas hindaja tellija andmeid ja lähtus väärtuse määramisel ehitusõiguse puudumisest</w:t>
      </w:r>
      <w:r w:rsidR="00B94DEF">
        <w:t xml:space="preserve"> (saavutades mõistagi juba eeldusena ehk võrdluskinnistuid valima asudes kordades madalama väärtusega lähtepositsiooni)</w:t>
      </w:r>
      <w:r w:rsidR="0090664D">
        <w:t xml:space="preserve">. </w:t>
      </w:r>
    </w:p>
    <w:p w14:paraId="28642D6E" w14:textId="77777777" w:rsidR="00015EA2" w:rsidRDefault="00015EA2" w:rsidP="00C317A5">
      <w:pPr>
        <w:jc w:val="both"/>
      </w:pPr>
      <w:r>
        <w:t>Ekspert, kes ei väsi kirjavahetuses rõhutamast, et tema näol on tegemist EKEI eraeksperdiga (rõhutades seeläbi enda maksimaalset usaldusväärsust</w:t>
      </w:r>
      <w:r w:rsidR="00396B58">
        <w:t>, kuigi mulle teadaolevalt ei ole EKEIga puutumuse rõhutamine EKEIga mitteseotud hindamistoimingute teostamise raames soovitav</w:t>
      </w:r>
      <w:r>
        <w:t xml:space="preserve">), ei teinud midagi selleks, et hindamine näiks (rääkimata sellest, et </w:t>
      </w:r>
      <w:r w:rsidR="00B94DEF">
        <w:t xml:space="preserve">tegelikkuses </w:t>
      </w:r>
      <w:r>
        <w:t xml:space="preserve">oleks) erapooletu ja usaldusväärne. Lähtuti üksnes tellija </w:t>
      </w:r>
      <w:r w:rsidR="00B94DEF">
        <w:t>huvidest</w:t>
      </w:r>
      <w:r>
        <w:t xml:space="preserve">. </w:t>
      </w:r>
    </w:p>
    <w:p w14:paraId="262FAD14" w14:textId="381D1D42" w:rsidR="00D4672F" w:rsidRDefault="006B462F" w:rsidP="00C317A5">
      <w:pPr>
        <w:jc w:val="both"/>
      </w:pPr>
      <w:r>
        <w:br w:type="column"/>
      </w:r>
      <w:r w:rsidR="00331EDF">
        <w:lastRenderedPageBreak/>
        <w:t>6. märtsil</w:t>
      </w:r>
      <w:r w:rsidR="00015EA2">
        <w:t xml:space="preserve"> kirjutas hindaja LT77 omanikule</w:t>
      </w:r>
      <w:r w:rsidR="00331EDF">
        <w:t>, et</w:t>
      </w:r>
      <w:r w:rsidR="00920541">
        <w:t>:</w:t>
      </w:r>
    </w:p>
    <w:p w14:paraId="0E0FA31F" w14:textId="77777777" w:rsidR="004F4CA7" w:rsidRDefault="00920541" w:rsidP="00C317A5">
      <w:pPr>
        <w:jc w:val="both"/>
      </w:pPr>
      <w:r>
        <w:t xml:space="preserve">1) </w:t>
      </w:r>
      <w:r w:rsidR="00667ED7">
        <w:t>„</w:t>
      </w:r>
      <w:r>
        <w:t>k</w:t>
      </w:r>
      <w:r w:rsidRPr="00920541">
        <w:t xml:space="preserve">ui kinnisasjast eraldatavale maaosale (äralõikele) ei jää hooneid ega rajatisi, hinnatakse selle väärtust </w:t>
      </w:r>
      <w:r w:rsidRPr="00E271E4">
        <w:rPr>
          <w:i/>
          <w:iCs/>
        </w:rPr>
        <w:t>üldjuhul</w:t>
      </w:r>
      <w:r w:rsidRPr="00920541">
        <w:t xml:space="preserve"> hoonestamata maa väärtuse alusel</w:t>
      </w:r>
      <w:r w:rsidR="00667ED7">
        <w:t>“</w:t>
      </w:r>
      <w:r w:rsidR="00E271E4">
        <w:t xml:space="preserve"> (viitamata, millest seesugune reegel või üldreegel tuleneb);</w:t>
      </w:r>
      <w:r>
        <w:t xml:space="preserve"> </w:t>
      </w:r>
    </w:p>
    <w:p w14:paraId="08F1A159" w14:textId="77777777" w:rsidR="00920541" w:rsidRDefault="00920541" w:rsidP="00C317A5">
      <w:pPr>
        <w:jc w:val="both"/>
      </w:pPr>
      <w:r>
        <w:t xml:space="preserve">2) </w:t>
      </w:r>
      <w:r w:rsidR="00667ED7">
        <w:t>„</w:t>
      </w:r>
      <w:r w:rsidR="00394C96" w:rsidRPr="00394C96">
        <w:t xml:space="preserve">Kinnisvara hindamise praktikas lähtutakse samuti EVS 875 „Kinnisvara hindamine“ standardist, mille kohaselt määratakse kinnisasja väärtus selle turuväärtuse alusel, arvestades objekti omadusi ja turul võrreldavate tehingute hindu. Seetõttu hinnatakse äralõiget, millel ei paikne hooneid ega rajatisi, </w:t>
      </w:r>
      <w:r w:rsidR="00394C96" w:rsidRPr="00015EA2">
        <w:rPr>
          <w:i/>
        </w:rPr>
        <w:t>üldjuhul</w:t>
      </w:r>
      <w:r w:rsidR="00394C96" w:rsidRPr="00394C96">
        <w:t> hoonestamata maa turuväärtuse alusel, kuna sellel maaosal puudub ehitistega seotud lisaväärtus.</w:t>
      </w:r>
      <w:r w:rsidR="00667ED7">
        <w:t>“</w:t>
      </w:r>
    </w:p>
    <w:p w14:paraId="38C798F1" w14:textId="77777777" w:rsidR="00433391" w:rsidRDefault="00667ED7" w:rsidP="00C317A5">
      <w:pPr>
        <w:jc w:val="both"/>
      </w:pPr>
      <w:r>
        <w:t xml:space="preserve">Kumbagi väidet ei ole </w:t>
      </w:r>
      <w:r w:rsidR="00015EA2">
        <w:t xml:space="preserve">hindaja varustanud </w:t>
      </w:r>
      <w:r>
        <w:t>allikaviitega</w:t>
      </w:r>
      <w:r w:rsidR="00250AD4">
        <w:t xml:space="preserve">. </w:t>
      </w:r>
      <w:r w:rsidR="00B94DEF">
        <w:t xml:space="preserve">Kinnistu omanikul ei ole juurdepääsu </w:t>
      </w:r>
      <w:r w:rsidR="00B9760A">
        <w:t>EVS875</w:t>
      </w:r>
      <w:r w:rsidR="00B94DEF">
        <w:t>-le, et hindaja väiteid kontrollida. A</w:t>
      </w:r>
      <w:r w:rsidR="00B9760A">
        <w:t xml:space="preserve">inuüksi erapooletuse </w:t>
      </w:r>
      <w:r w:rsidR="00433391">
        <w:t xml:space="preserve">minimaalsekski demonstreerimiseks </w:t>
      </w:r>
      <w:r w:rsidR="00015EA2">
        <w:t xml:space="preserve">võinuks </w:t>
      </w:r>
      <w:r w:rsidR="00B94DEF">
        <w:t>viited olla konkreetsed</w:t>
      </w:r>
      <w:r w:rsidR="00433391">
        <w:t xml:space="preserve">. </w:t>
      </w:r>
    </w:p>
    <w:p w14:paraId="5C432593" w14:textId="77777777" w:rsidR="00B94DEF" w:rsidRDefault="00015EA2" w:rsidP="00C317A5">
      <w:pPr>
        <w:jc w:val="both"/>
      </w:pPr>
      <w:r>
        <w:t>Hindaja kasuta</w:t>
      </w:r>
      <w:r w:rsidR="00B94DEF">
        <w:t>b</w:t>
      </w:r>
      <w:r>
        <w:t xml:space="preserve"> </w:t>
      </w:r>
      <w:r w:rsidR="00B94DEF">
        <w:t xml:space="preserve">oma </w:t>
      </w:r>
      <w:r>
        <w:t>selgitustes</w:t>
      </w:r>
      <w:r w:rsidR="00433391">
        <w:t xml:space="preserve"> </w:t>
      </w:r>
      <w:r w:rsidR="00A11656">
        <w:t xml:space="preserve">läbivalt sõna „üldjuhul“, </w:t>
      </w:r>
      <w:r w:rsidR="00433391">
        <w:t xml:space="preserve">ometi </w:t>
      </w:r>
      <w:r>
        <w:t>viitab kehtiv õigus sellele, et</w:t>
      </w:r>
      <w:r w:rsidR="00A11656">
        <w:t xml:space="preserve"> </w:t>
      </w:r>
      <w:r w:rsidR="00A11656" w:rsidRPr="00250AD4">
        <w:rPr>
          <w:i/>
          <w:iCs/>
        </w:rPr>
        <w:t>üldjuhul</w:t>
      </w:r>
      <w:r w:rsidR="00A11656">
        <w:t xml:space="preserve"> tuleks käituda hoopis vastupidi. „</w:t>
      </w:r>
      <w:r w:rsidR="00A11656" w:rsidRPr="00A11656">
        <w:rPr>
          <w:b/>
          <w:bCs/>
        </w:rPr>
        <w:t>K</w:t>
      </w:r>
      <w:r w:rsidR="006F3885" w:rsidRPr="006F3885">
        <w:rPr>
          <w:b/>
          <w:bCs/>
        </w:rPr>
        <w:t xml:space="preserve">innisasja hinnatakse </w:t>
      </w:r>
      <w:r w:rsidR="006F3885" w:rsidRPr="00250AD4">
        <w:rPr>
          <w:b/>
          <w:bCs/>
          <w:i/>
          <w:iCs/>
        </w:rPr>
        <w:t>üldjuhul</w:t>
      </w:r>
      <w:r w:rsidR="006F3885" w:rsidRPr="006F3885">
        <w:rPr>
          <w:b/>
          <w:bCs/>
        </w:rPr>
        <w:t xml:space="preserve"> tervikuna, arvestades </w:t>
      </w:r>
      <w:r w:rsidR="006F3885" w:rsidRPr="008435EB">
        <w:rPr>
          <w:b/>
          <w:bCs/>
          <w:u w:val="single"/>
        </w:rPr>
        <w:t>kõiki</w:t>
      </w:r>
      <w:r w:rsidR="006F3885" w:rsidRPr="006F3885">
        <w:rPr>
          <w:b/>
          <w:bCs/>
        </w:rPr>
        <w:t xml:space="preserve"> kinnisasja olulisi osi (</w:t>
      </w:r>
      <w:r w:rsidR="006F3885">
        <w:rPr>
          <w:b/>
          <w:bCs/>
        </w:rPr>
        <w:t>Kinnisasja erakorralise hindamise k</w:t>
      </w:r>
      <w:r w:rsidR="006F3885" w:rsidRPr="006F3885">
        <w:rPr>
          <w:b/>
          <w:bCs/>
        </w:rPr>
        <w:t>ord, § 5)</w:t>
      </w:r>
      <w:r w:rsidR="006F3885">
        <w:t xml:space="preserve">“. </w:t>
      </w:r>
      <w:r>
        <w:t xml:space="preserve">Hindaja aga on </w:t>
      </w:r>
      <w:r w:rsidR="006F3885">
        <w:t>kinnisasja olulisi osi (</w:t>
      </w:r>
      <w:r w:rsidR="00B94DEF">
        <w:t xml:space="preserve">nt </w:t>
      </w:r>
      <w:r w:rsidR="006F3885">
        <w:t xml:space="preserve">elamu) </w:t>
      </w:r>
      <w:r>
        <w:t xml:space="preserve">läbivalt </w:t>
      </w:r>
      <w:r w:rsidR="006F3885">
        <w:t xml:space="preserve">ignoreerinud. Vähe sellest – </w:t>
      </w:r>
      <w:r w:rsidR="00B94DEF">
        <w:t xml:space="preserve">hindaja </w:t>
      </w:r>
      <w:r>
        <w:t xml:space="preserve">on </w:t>
      </w:r>
      <w:r w:rsidR="006F3885">
        <w:t>korduvalt maininud (sh võrdlusobjektide valikul), et tegemist on hoonesta</w:t>
      </w:r>
      <w:r w:rsidR="006F3885" w:rsidRPr="00C0054B">
        <w:rPr>
          <w:b/>
          <w:bCs/>
          <w:u w:val="single"/>
        </w:rPr>
        <w:t>mata</w:t>
      </w:r>
      <w:r w:rsidR="006F3885">
        <w:t xml:space="preserve"> </w:t>
      </w:r>
      <w:r w:rsidR="006F3885" w:rsidRPr="00433391">
        <w:rPr>
          <w:b/>
          <w:bCs/>
        </w:rPr>
        <w:t>ja</w:t>
      </w:r>
      <w:r w:rsidR="006F3885">
        <w:t xml:space="preserve"> ehitusõiguse</w:t>
      </w:r>
      <w:r w:rsidR="006F3885" w:rsidRPr="00C0054B">
        <w:rPr>
          <w:b/>
          <w:bCs/>
          <w:u w:val="single"/>
        </w:rPr>
        <w:t>ta</w:t>
      </w:r>
      <w:r w:rsidR="006F3885">
        <w:t xml:space="preserve"> kinnistuga. See on otsene vale</w:t>
      </w:r>
      <w:r w:rsidR="00433391">
        <w:t xml:space="preserve"> – kinnistu on hoonestatud ja ehitusõiguse puudumine </w:t>
      </w:r>
      <w:r w:rsidR="007A21AB">
        <w:t>ei päde samuti</w:t>
      </w:r>
      <w:r w:rsidR="006F3885">
        <w:t xml:space="preserve">. </w:t>
      </w:r>
    </w:p>
    <w:p w14:paraId="422566B6" w14:textId="77777777" w:rsidR="001A31F7" w:rsidRDefault="001A31F7" w:rsidP="00C317A5">
      <w:pPr>
        <w:jc w:val="both"/>
      </w:pPr>
      <w:r>
        <w:t xml:space="preserve">Seesuguse </w:t>
      </w:r>
      <w:r w:rsidR="00EE24EA">
        <w:t xml:space="preserve">täiesti arusaamatu </w:t>
      </w:r>
      <w:r>
        <w:t xml:space="preserve">loogika alusel võiks jõuda järeldusele, et </w:t>
      </w:r>
      <w:r w:rsidR="00015EA2">
        <w:t xml:space="preserve">lõpuni </w:t>
      </w:r>
      <w:r w:rsidR="00B94DEF">
        <w:t xml:space="preserve">(nt projekteerimistingimustes ette nähtu ammendumiseni) </w:t>
      </w:r>
      <w:r w:rsidR="006E59D0">
        <w:t xml:space="preserve">hoonestatud kinnistu, mida ei kavatseta </w:t>
      </w:r>
      <w:r w:rsidR="00B94DEF">
        <w:t xml:space="preserve">täiendavalt </w:t>
      </w:r>
      <w:r w:rsidR="006E59D0">
        <w:t>arendada</w:t>
      </w:r>
      <w:r w:rsidR="00015EA2">
        <w:t xml:space="preserve"> </w:t>
      </w:r>
      <w:r w:rsidR="006E59D0">
        <w:t>(</w:t>
      </w:r>
      <w:r w:rsidR="00B94DEF">
        <w:t xml:space="preserve">st. </w:t>
      </w:r>
      <w:r w:rsidR="006E59D0">
        <w:t xml:space="preserve">puudub DP), on </w:t>
      </w:r>
      <w:r w:rsidR="006E59D0" w:rsidRPr="00B94DEF">
        <w:rPr>
          <w:b/>
        </w:rPr>
        <w:t>kordades vähem väärtuslik</w:t>
      </w:r>
      <w:r w:rsidR="006E59D0">
        <w:t xml:space="preserve"> kui hoone</w:t>
      </w:r>
      <w:r w:rsidR="00015EA2">
        <w:t xml:space="preserve">stamata kinnistu, millel on </w:t>
      </w:r>
      <w:r w:rsidR="00B94DEF">
        <w:t>mingisugunegi DP.</w:t>
      </w:r>
      <w:r w:rsidR="00015EA2">
        <w:t xml:space="preserve"> </w:t>
      </w:r>
      <w:r w:rsidR="00B94DEF">
        <w:t xml:space="preserve">Seega võid käsikäes niisugust loogikat ja praktikat viljelevate ekspertidega kujuneda olukord, kus </w:t>
      </w:r>
      <w:r w:rsidR="00015EA2">
        <w:t>just seesugustele kinnistutele on KOV-idel iseäranis „soodne“ omanike huve arvestamata mistahes avalikke objekte rajada</w:t>
      </w:r>
      <w:r w:rsidR="00B94DEF">
        <w:t>, et need siis sundvõõrandada</w:t>
      </w:r>
      <w:r w:rsidR="00015EA2">
        <w:t>.</w:t>
      </w:r>
    </w:p>
    <w:p w14:paraId="4DA448E7" w14:textId="77777777" w:rsidR="00F623FB" w:rsidRPr="00C317A5" w:rsidRDefault="00F623FB" w:rsidP="00F623FB">
      <w:pPr>
        <w:jc w:val="both"/>
      </w:pPr>
      <w:r>
        <w:t xml:space="preserve">Mitu hindajat, kellega kinnistu omanik (esindaja) on suuliselt või kirjalikult konsulteerinud, on rõhutanud, et (paljude teiste selgete minetuste hulgas, nt </w:t>
      </w:r>
      <w:proofErr w:type="spellStart"/>
      <w:r>
        <w:t>APEKi</w:t>
      </w:r>
      <w:proofErr w:type="spellEnd"/>
      <w:r>
        <w:t xml:space="preserve"> arvestamine) kõnealune kinnistu </w:t>
      </w:r>
      <w:r w:rsidRPr="00C317A5">
        <w:t xml:space="preserve">on elamumaa, </w:t>
      </w:r>
      <w:r w:rsidRPr="00C317A5">
        <w:rPr>
          <w:b/>
        </w:rPr>
        <w:t>millel on olemas ehitusõigus tulenevalt olemasolevast hoonestusest</w:t>
      </w:r>
      <w:r>
        <w:rPr>
          <w:b/>
        </w:rPr>
        <w:t xml:space="preserve">. </w:t>
      </w:r>
      <w:r w:rsidRPr="00C317A5">
        <w:t>Jääb</w:t>
      </w:r>
      <w:r>
        <w:rPr>
          <w:b/>
        </w:rPr>
        <w:t xml:space="preserve"> </w:t>
      </w:r>
      <w:r w:rsidRPr="00C317A5">
        <w:t>arusaamatuks,</w:t>
      </w:r>
      <w:r>
        <w:t xml:space="preserve"> kas erinevatel hindajatel on erinevad standardid või on käesoleval juhul rakendatud topeltstandardeid selle </w:t>
      </w:r>
      <w:proofErr w:type="spellStart"/>
      <w:r>
        <w:t>sõn</w:t>
      </w:r>
      <w:proofErr w:type="spellEnd"/>
      <w:r>
        <w:t xml:space="preserve"> halvimas (otsest varalist kahju kaasa toovas) tähenduses.</w:t>
      </w:r>
      <w:r>
        <w:rPr>
          <w:b/>
        </w:rPr>
        <w:t xml:space="preserve"> </w:t>
      </w:r>
    </w:p>
    <w:p w14:paraId="2FE23DFE" w14:textId="2DCBCB47" w:rsidR="00015EA2" w:rsidRDefault="006F3885" w:rsidP="00C317A5">
      <w:pPr>
        <w:jc w:val="both"/>
      </w:pPr>
      <w:r>
        <w:t xml:space="preserve">Võimalik, et läbiva </w:t>
      </w:r>
      <w:r w:rsidR="00015EA2">
        <w:t xml:space="preserve">faktilise </w:t>
      </w:r>
      <w:r>
        <w:t xml:space="preserve">eksimuse </w:t>
      </w:r>
      <w:r w:rsidR="00F623FB">
        <w:t xml:space="preserve">ja ahelreaktsioonina sisuliselt olematu väärtuseni jõudmise </w:t>
      </w:r>
      <w:r>
        <w:t xml:space="preserve">ajendiks on </w:t>
      </w:r>
      <w:r w:rsidR="00F623FB">
        <w:t xml:space="preserve">VV </w:t>
      </w:r>
      <w:r>
        <w:t xml:space="preserve">poolt </w:t>
      </w:r>
      <w:r w:rsidR="00015EA2">
        <w:t xml:space="preserve">hindajale </w:t>
      </w:r>
      <w:r>
        <w:t>02.11.2025.a. kirjas esitatud valeväide: „</w:t>
      </w:r>
      <w:r w:rsidRPr="006759C6">
        <w:t xml:space="preserve">Puutuvalt ehituspotentsiaali pean selgitama, et kehtiv üldplaneering näeb ette, et kui tegemist on reservmaaga, siis </w:t>
      </w:r>
      <w:r w:rsidRPr="00EE24EA">
        <w:rPr>
          <w:b/>
          <w:bCs/>
        </w:rPr>
        <w:t>ei saa sellele maale enne anda ehitusõigust, kui pole tehtud detailplaneeringut</w:t>
      </w:r>
      <w:r w:rsidRPr="006759C6">
        <w:t>. Seega on küll õige, et hinnataval maal on ehitus- ja jagamispotentsiaal, kuid seda ainult läbi detailplaneeringu koostamise.</w:t>
      </w:r>
      <w:r>
        <w:t xml:space="preserve">“ </w:t>
      </w:r>
    </w:p>
    <w:p w14:paraId="15710601" w14:textId="77777777" w:rsidR="00015EA2" w:rsidRDefault="006F3885" w:rsidP="00C317A5">
      <w:pPr>
        <w:jc w:val="both"/>
      </w:pPr>
      <w:r>
        <w:lastRenderedPageBreak/>
        <w:t xml:space="preserve">See väide ei vasta tõele ja kui </w:t>
      </w:r>
      <w:r w:rsidR="00015EA2">
        <w:t xml:space="preserve">hindaja, EKEI eraekspert, </w:t>
      </w:r>
      <w:r w:rsidR="00C317A5">
        <w:t>oleks</w:t>
      </w:r>
      <w:r>
        <w:t xml:space="preserve"> </w:t>
      </w:r>
      <w:r w:rsidR="00015EA2">
        <w:t xml:space="preserve">vaevunud </w:t>
      </w:r>
      <w:r>
        <w:t>tutvu</w:t>
      </w:r>
      <w:r w:rsidR="00015EA2">
        <w:t>ma</w:t>
      </w:r>
      <w:r>
        <w:t xml:space="preserve"> Viimsi valla mandriosa üldplaneeringuga (6. peatükk: </w:t>
      </w:r>
      <w:r w:rsidRPr="000802F5">
        <w:rPr>
          <w:b/>
          <w:bCs/>
        </w:rPr>
        <w:t>Ehitamise printsiibid hajaasustuses</w:t>
      </w:r>
      <w:r w:rsidR="00015EA2">
        <w:t>), oleks</w:t>
      </w:r>
      <w:r>
        <w:t xml:space="preserve"> ehk saanud seda viga vältida. </w:t>
      </w:r>
    </w:p>
    <w:p w14:paraId="2C0007D7" w14:textId="77777777" w:rsidR="006F3885" w:rsidRDefault="00EE24EA" w:rsidP="00C317A5">
      <w:pPr>
        <w:jc w:val="both"/>
      </w:pPr>
      <w:r>
        <w:t xml:space="preserve">Kehtivast ÜP-st tuleneb selgelt, et </w:t>
      </w:r>
      <w:r w:rsidR="00E117F2" w:rsidRPr="00E117F2">
        <w:t>kuni 2 kordse ja väiksema kui 250 m2 üldpinnaga</w:t>
      </w:r>
      <w:r w:rsidR="00A634DA">
        <w:t xml:space="preserve"> hoone</w:t>
      </w:r>
      <w:r w:rsidR="00E117F2" w:rsidRPr="00E117F2">
        <w:t xml:space="preserve"> rajamisel hajaasustuses </w:t>
      </w:r>
      <w:r w:rsidR="00E117F2" w:rsidRPr="00E117F2">
        <w:rPr>
          <w:b/>
          <w:bCs/>
        </w:rPr>
        <w:t>detailplaneeringut ei nõuta</w:t>
      </w:r>
      <w:r w:rsidR="00E117F2">
        <w:t>.</w:t>
      </w:r>
      <w:r w:rsidR="008435EB">
        <w:t xml:space="preserve"> </w:t>
      </w:r>
      <w:r w:rsidR="00E117F2">
        <w:t xml:space="preserve">Järelikult on </w:t>
      </w:r>
      <w:r w:rsidR="00E117F2" w:rsidRPr="005E2D88">
        <w:rPr>
          <w:i/>
          <w:iCs/>
        </w:rPr>
        <w:t>ehitusõiguse puudumise</w:t>
      </w:r>
      <w:r w:rsidR="00E117F2">
        <w:t xml:space="preserve"> läbiv rõhutamine </w:t>
      </w:r>
      <w:r w:rsidR="00A634DA">
        <w:t xml:space="preserve">hinnatava kinnistu puhul </w:t>
      </w:r>
      <w:r w:rsidR="00E117F2">
        <w:t xml:space="preserve">kas teadlik </w:t>
      </w:r>
      <w:r w:rsidR="00A634DA">
        <w:t xml:space="preserve">manipulatsioon ja vale </w:t>
      </w:r>
      <w:r w:rsidR="00E117F2">
        <w:t>või puudulik</w:t>
      </w:r>
      <w:r w:rsidR="005E2D88">
        <w:t xml:space="preserve"> ettevalmistus – </w:t>
      </w:r>
      <w:r w:rsidR="00015EA2">
        <w:t xml:space="preserve">mis ometi viis selleni, et LT77 väärtuse väljaselgitamisel kasutati </w:t>
      </w:r>
      <w:r w:rsidR="005E2D88">
        <w:t xml:space="preserve">võrdlusobjektidena </w:t>
      </w:r>
      <w:r w:rsidR="00015EA2">
        <w:t>hoonesmata ja ehitusõiguseta kinnistuid</w:t>
      </w:r>
      <w:r w:rsidR="001541A8">
        <w:t>, s.o. juba eeldusena kordades vähemväärtuslikke</w:t>
      </w:r>
      <w:r w:rsidR="00015EA2">
        <w:t>.</w:t>
      </w:r>
    </w:p>
    <w:p w14:paraId="183994C8" w14:textId="1E997193" w:rsidR="00C624DE" w:rsidRDefault="00C624DE" w:rsidP="00C317A5">
      <w:pPr>
        <w:jc w:val="both"/>
      </w:pPr>
      <w:r>
        <w:t xml:space="preserve">Samuti ei pööranud hindaja tähelepanu asjaolule, et hindamise ajal oli kinnistul </w:t>
      </w:r>
      <w:r w:rsidR="00F623FB">
        <w:t xml:space="preserve">olemas </w:t>
      </w:r>
      <w:r>
        <w:t xml:space="preserve">ulatuslik ehitusõigus projekteerimistingimuste näol. Hindaja kas ei leidnud registrist vastavat dokumenti või ei tundnud selle olemasolu vastu huvi, mistõttu läbivalt konstateeritakse ehitusõiguse puudumist. </w:t>
      </w:r>
      <w:r w:rsidR="00F623FB">
        <w:t xml:space="preserve">Nõnda </w:t>
      </w:r>
      <w:r w:rsidR="00BD6FC3">
        <w:t xml:space="preserve">on kinnistule omistatud eeldatavasti kordades madalam väärtus, kui tegelike asjaoludega ausa arvestamise puhul. </w:t>
      </w:r>
    </w:p>
    <w:p w14:paraId="740D6FAE" w14:textId="77777777" w:rsidR="00B86A70" w:rsidRDefault="00C624DE" w:rsidP="00C317A5">
      <w:pPr>
        <w:jc w:val="both"/>
      </w:pPr>
      <w:r>
        <w:t xml:space="preserve">Läbi teabenõue sai LT77 omanik tutvuda hindaja ja VV esindaja kirjavahetusega, milles vahest rabavaima detailina leidub hindaja tsitaat: </w:t>
      </w:r>
      <w:r>
        <w:rPr>
          <w:rFonts w:ascii="Arial" w:hAnsi="Arial" w:cs="Arial"/>
          <w:color w:val="222222"/>
          <w:shd w:val="clear" w:color="auto" w:fill="FFFFFF"/>
        </w:rPr>
        <w:t>"Praegusel juhul on tegemist maaüksusega, millele ei ole </w:t>
      </w:r>
      <w:r>
        <w:rPr>
          <w:rFonts w:ascii="Arial" w:hAnsi="Arial" w:cs="Arial"/>
          <w:b/>
          <w:bCs/>
          <w:color w:val="222222"/>
          <w:shd w:val="clear" w:color="auto" w:fill="FFFFFF"/>
        </w:rPr>
        <w:t>väärtuse kuupäeva seisuga </w:t>
      </w:r>
      <w:r>
        <w:rPr>
          <w:rFonts w:ascii="Arial" w:hAnsi="Arial" w:cs="Arial"/>
          <w:color w:val="222222"/>
          <w:shd w:val="clear" w:color="auto" w:fill="FFFFFF"/>
        </w:rPr>
        <w:t>algatatud ega kehtestatud detailplaneeringut </w:t>
      </w:r>
      <w:r>
        <w:rPr>
          <w:rFonts w:ascii="Arial" w:hAnsi="Arial" w:cs="Arial"/>
          <w:b/>
          <w:bCs/>
          <w:color w:val="222222"/>
          <w:shd w:val="clear" w:color="auto" w:fill="FFFFFF"/>
        </w:rPr>
        <w:t>ega väljastatud projekteerimistingimusi</w:t>
      </w:r>
      <w:r>
        <w:rPr>
          <w:rFonts w:ascii="Arial" w:hAnsi="Arial" w:cs="Arial"/>
          <w:color w:val="222222"/>
          <w:shd w:val="clear" w:color="auto" w:fill="FFFFFF"/>
        </w:rPr>
        <w:t>, mis lubaksid antud maaüksusel mistahes ehitustegevust."</w:t>
      </w:r>
      <w:r>
        <w:t xml:space="preserve"> See on otsene vale. Kui LT77 omanik </w:t>
      </w:r>
      <w:r w:rsidR="00C317A5">
        <w:t xml:space="preserve">juhtis </w:t>
      </w:r>
      <w:r w:rsidR="00BD6FC3">
        <w:t xml:space="preserve">hindaja </w:t>
      </w:r>
      <w:r>
        <w:t xml:space="preserve">tähelepanu </w:t>
      </w:r>
      <w:r w:rsidR="00BD6FC3">
        <w:t>sellele kaalukale faktiveale</w:t>
      </w:r>
      <w:r>
        <w:t>, juhtus järgmine.</w:t>
      </w:r>
    </w:p>
    <w:p w14:paraId="42825ACD" w14:textId="55B0BC21" w:rsidR="007E600E" w:rsidRDefault="00C624DE" w:rsidP="00C317A5">
      <w:pPr>
        <w:jc w:val="both"/>
      </w:pPr>
      <w:r>
        <w:t xml:space="preserve">(Hindaja </w:t>
      </w:r>
      <w:r w:rsidR="00BD6FC3">
        <w:t>oli kirjavahetus</w:t>
      </w:r>
      <w:r w:rsidR="00F623FB">
        <w:t>es</w:t>
      </w:r>
      <w:r w:rsidR="00BD6FC3">
        <w:t xml:space="preserve"> LT77 omanikuga märkinud</w:t>
      </w:r>
      <w:r w:rsidR="00FE6F7B">
        <w:t xml:space="preserve">, </w:t>
      </w:r>
      <w:r>
        <w:t>et on alati valm</w:t>
      </w:r>
      <w:r w:rsidR="00BD6FC3">
        <w:t xml:space="preserve">is kõigile küsimustele vastama). </w:t>
      </w:r>
    </w:p>
    <w:p w14:paraId="1DE2363A" w14:textId="3282FFF3" w:rsidR="00BD6FC3" w:rsidRPr="001541A8" w:rsidRDefault="00F623FB" w:rsidP="00C317A5">
      <w:pPr>
        <w:jc w:val="both"/>
      </w:pPr>
      <w:r>
        <w:t>Ometi sai a</w:t>
      </w:r>
      <w:r w:rsidR="00BD6FC3">
        <w:t>llakirjutanu tähelepanuväärselt kõrgi suhtumise osaliseks. Tsiteerin: „Käesoleval juhul olen valmis kolmandatele osapooltele viimast korda hindamispõhimõtteid selgitama. Kuna mina Teile ei ole ühtegi eksperthinnangut koostanud ning pole ka olnud meil ühtegi varasemat koostööd, siis ei ole mul kohustust asjasse mittepuutuvatele isikutele selgitusi anda. Minu tellijaks oli Viimsi Vallavalitsus ning tekkinud küsimustele olen juba vastanud.“</w:t>
      </w:r>
      <w:r w:rsidR="001541A8">
        <w:t xml:space="preserve"> Sedasi väljendub </w:t>
      </w:r>
      <w:r w:rsidR="001541A8">
        <w:rPr>
          <w:i/>
        </w:rPr>
        <w:t xml:space="preserve">ekspert </w:t>
      </w:r>
      <w:r w:rsidR="001541A8">
        <w:t>kes tavaloogikast lähtudes peaks olema erapooletu!?!</w:t>
      </w:r>
    </w:p>
    <w:p w14:paraId="0A471B0D" w14:textId="77777777" w:rsidR="00BD6FC3" w:rsidRDefault="00BD6FC3" w:rsidP="00C317A5">
      <w:pPr>
        <w:jc w:val="both"/>
      </w:pPr>
      <w:r>
        <w:t xml:space="preserve">Ma ei ole kindel, kas niisugune suhtumine inimesse, kelle vara läbi erinevate faktivigade, </w:t>
      </w:r>
      <w:r w:rsidR="00317935">
        <w:t>võrdlusobjektidega manipuleerimise</w:t>
      </w:r>
      <w:r>
        <w:t xml:space="preserve"> ja meelevaldsete kalkulatsioonide tegelikkusest märkimisväärselt </w:t>
      </w:r>
      <w:r w:rsidR="00317935">
        <w:t xml:space="preserve">väärtusetumaks </w:t>
      </w:r>
      <w:r>
        <w:t>püütakse hinnata ja kes ennast selle eest kuidagi kaitsta püüab, on põhjendatud. Vähemalt eelduslikult peaks eksperdina esinev isik</w:t>
      </w:r>
      <w:r w:rsidR="00317935">
        <w:t>u tegevus</w:t>
      </w:r>
      <w:r>
        <w:t xml:space="preserve"> olema </w:t>
      </w:r>
      <w:r w:rsidR="00317935">
        <w:t xml:space="preserve">läbipaistev, </w:t>
      </w:r>
      <w:r>
        <w:t xml:space="preserve">erapooletu või vähemalt sellisena näima. Jätan selle </w:t>
      </w:r>
      <w:r w:rsidR="001541A8">
        <w:t xml:space="preserve">(nagu ka teiste esile toodud küsitavuste suhtes usaldusväärse hinnangu andmise) </w:t>
      </w:r>
      <w:r>
        <w:t>Teie otsustada.</w:t>
      </w:r>
    </w:p>
    <w:p w14:paraId="64E57C3D" w14:textId="77777777" w:rsidR="00396B58" w:rsidRDefault="00396B58" w:rsidP="00C317A5">
      <w:pPr>
        <w:jc w:val="both"/>
      </w:pPr>
    </w:p>
    <w:p w14:paraId="52DC2B0B" w14:textId="77777777" w:rsidR="00396B58" w:rsidRDefault="00396B58" w:rsidP="00C317A5">
      <w:pPr>
        <w:jc w:val="both"/>
      </w:pPr>
    </w:p>
    <w:p w14:paraId="636C1AA3" w14:textId="77777777" w:rsidR="00142233" w:rsidRDefault="00BD6FC3" w:rsidP="00C317A5">
      <w:pPr>
        <w:jc w:val="both"/>
      </w:pPr>
      <w:r>
        <w:lastRenderedPageBreak/>
        <w:t xml:space="preserve">Lugupidamisega </w:t>
      </w:r>
    </w:p>
    <w:p w14:paraId="4546D0A8" w14:textId="77777777" w:rsidR="00142233" w:rsidRDefault="00142233" w:rsidP="00C317A5">
      <w:pPr>
        <w:jc w:val="both"/>
      </w:pPr>
      <w:r>
        <w:t>Janar Filippov</w:t>
      </w:r>
    </w:p>
    <w:p w14:paraId="48BF9705" w14:textId="77777777" w:rsidR="00142233" w:rsidRDefault="00BD6FC3" w:rsidP="00C317A5">
      <w:pPr>
        <w:jc w:val="both"/>
      </w:pPr>
      <w:r>
        <w:t xml:space="preserve">Leppneeme tee 77 omaniku </w:t>
      </w:r>
      <w:r w:rsidR="00142233">
        <w:t>volitatud esindaja</w:t>
      </w:r>
    </w:p>
    <w:p w14:paraId="79117A6C" w14:textId="77777777" w:rsidR="00833100" w:rsidRDefault="00833100" w:rsidP="00C317A5">
      <w:pPr>
        <w:jc w:val="both"/>
      </w:pPr>
      <w:r>
        <w:t>5202119</w:t>
      </w:r>
    </w:p>
    <w:p w14:paraId="2E9278BF" w14:textId="77777777" w:rsidR="003B35D3" w:rsidRDefault="003B35D3" w:rsidP="00C317A5">
      <w:pPr>
        <w:jc w:val="both"/>
      </w:pPr>
    </w:p>
    <w:p w14:paraId="442F0670" w14:textId="77777777" w:rsidR="00033CC9" w:rsidRDefault="00033CC9" w:rsidP="00C317A5">
      <w:pPr>
        <w:jc w:val="both"/>
      </w:pPr>
    </w:p>
    <w:sectPr w:rsidR="00033CC9" w:rsidSect="00513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8D"/>
    <w:rsid w:val="0001417E"/>
    <w:rsid w:val="00015EA2"/>
    <w:rsid w:val="00021832"/>
    <w:rsid w:val="00027E7E"/>
    <w:rsid w:val="0003319D"/>
    <w:rsid w:val="00033CC9"/>
    <w:rsid w:val="0003423E"/>
    <w:rsid w:val="000802F5"/>
    <w:rsid w:val="000C6177"/>
    <w:rsid w:val="000D6D03"/>
    <w:rsid w:val="00105D14"/>
    <w:rsid w:val="00122B54"/>
    <w:rsid w:val="00142233"/>
    <w:rsid w:val="00142A23"/>
    <w:rsid w:val="001520F2"/>
    <w:rsid w:val="00153E72"/>
    <w:rsid w:val="001541A8"/>
    <w:rsid w:val="00160860"/>
    <w:rsid w:val="00165F2B"/>
    <w:rsid w:val="001A31F7"/>
    <w:rsid w:val="001D3716"/>
    <w:rsid w:val="001E22CE"/>
    <w:rsid w:val="001E7B8C"/>
    <w:rsid w:val="002309C1"/>
    <w:rsid w:val="00233698"/>
    <w:rsid w:val="00235FD1"/>
    <w:rsid w:val="00246DF8"/>
    <w:rsid w:val="00247940"/>
    <w:rsid w:val="00250AD4"/>
    <w:rsid w:val="00257AB4"/>
    <w:rsid w:val="00261CE3"/>
    <w:rsid w:val="002F2792"/>
    <w:rsid w:val="002F7CCF"/>
    <w:rsid w:val="00303305"/>
    <w:rsid w:val="00317935"/>
    <w:rsid w:val="00324A49"/>
    <w:rsid w:val="00330755"/>
    <w:rsid w:val="00331EDF"/>
    <w:rsid w:val="00332DC0"/>
    <w:rsid w:val="00334741"/>
    <w:rsid w:val="00336411"/>
    <w:rsid w:val="00352624"/>
    <w:rsid w:val="00385D2F"/>
    <w:rsid w:val="00390EE8"/>
    <w:rsid w:val="00394C96"/>
    <w:rsid w:val="0039592D"/>
    <w:rsid w:val="00396B58"/>
    <w:rsid w:val="003B35D3"/>
    <w:rsid w:val="003B37EB"/>
    <w:rsid w:val="003F21C6"/>
    <w:rsid w:val="0041301C"/>
    <w:rsid w:val="0042406A"/>
    <w:rsid w:val="00433391"/>
    <w:rsid w:val="00436E29"/>
    <w:rsid w:val="004431DA"/>
    <w:rsid w:val="00481E9B"/>
    <w:rsid w:val="004A706D"/>
    <w:rsid w:val="004F4CA7"/>
    <w:rsid w:val="005124A7"/>
    <w:rsid w:val="00513CEE"/>
    <w:rsid w:val="0052425F"/>
    <w:rsid w:val="005422F4"/>
    <w:rsid w:val="005433AE"/>
    <w:rsid w:val="00595663"/>
    <w:rsid w:val="005E2D88"/>
    <w:rsid w:val="005E2E35"/>
    <w:rsid w:val="00603E3B"/>
    <w:rsid w:val="0060716A"/>
    <w:rsid w:val="00620E40"/>
    <w:rsid w:val="00624FFC"/>
    <w:rsid w:val="0064011C"/>
    <w:rsid w:val="00660DAF"/>
    <w:rsid w:val="00661536"/>
    <w:rsid w:val="00667ED7"/>
    <w:rsid w:val="00671419"/>
    <w:rsid w:val="0067454A"/>
    <w:rsid w:val="006759C6"/>
    <w:rsid w:val="00684AD6"/>
    <w:rsid w:val="006B462F"/>
    <w:rsid w:val="006D2A38"/>
    <w:rsid w:val="006E13BD"/>
    <w:rsid w:val="006E218C"/>
    <w:rsid w:val="006E59D0"/>
    <w:rsid w:val="006E7FDE"/>
    <w:rsid w:val="006F1298"/>
    <w:rsid w:val="006F3885"/>
    <w:rsid w:val="007422DF"/>
    <w:rsid w:val="0075776C"/>
    <w:rsid w:val="00784923"/>
    <w:rsid w:val="00794F7C"/>
    <w:rsid w:val="007A21AB"/>
    <w:rsid w:val="007C4052"/>
    <w:rsid w:val="007D7762"/>
    <w:rsid w:val="007E600E"/>
    <w:rsid w:val="007F56F5"/>
    <w:rsid w:val="007F5A68"/>
    <w:rsid w:val="008050CF"/>
    <w:rsid w:val="008275F5"/>
    <w:rsid w:val="008329C8"/>
    <w:rsid w:val="00833100"/>
    <w:rsid w:val="008435EB"/>
    <w:rsid w:val="008449D6"/>
    <w:rsid w:val="008E35EE"/>
    <w:rsid w:val="00901D0D"/>
    <w:rsid w:val="0090664D"/>
    <w:rsid w:val="00920541"/>
    <w:rsid w:val="00923779"/>
    <w:rsid w:val="009524C2"/>
    <w:rsid w:val="00993789"/>
    <w:rsid w:val="009A1263"/>
    <w:rsid w:val="009A3611"/>
    <w:rsid w:val="009C37C3"/>
    <w:rsid w:val="009D1F53"/>
    <w:rsid w:val="009D41EB"/>
    <w:rsid w:val="009D78F7"/>
    <w:rsid w:val="009F0DBE"/>
    <w:rsid w:val="009F7CD0"/>
    <w:rsid w:val="00A10892"/>
    <w:rsid w:val="00A11656"/>
    <w:rsid w:val="00A30FF2"/>
    <w:rsid w:val="00A36420"/>
    <w:rsid w:val="00A47D93"/>
    <w:rsid w:val="00A5624F"/>
    <w:rsid w:val="00A634DA"/>
    <w:rsid w:val="00A70AFB"/>
    <w:rsid w:val="00A847E3"/>
    <w:rsid w:val="00A93959"/>
    <w:rsid w:val="00AB4DC7"/>
    <w:rsid w:val="00AC7738"/>
    <w:rsid w:val="00AD2B8D"/>
    <w:rsid w:val="00B10346"/>
    <w:rsid w:val="00B15CB9"/>
    <w:rsid w:val="00B42249"/>
    <w:rsid w:val="00B86A70"/>
    <w:rsid w:val="00B94DEF"/>
    <w:rsid w:val="00B971C3"/>
    <w:rsid w:val="00B9760A"/>
    <w:rsid w:val="00BB3854"/>
    <w:rsid w:val="00BC2868"/>
    <w:rsid w:val="00BC4A3C"/>
    <w:rsid w:val="00BD20DD"/>
    <w:rsid w:val="00BD6FC3"/>
    <w:rsid w:val="00C0054B"/>
    <w:rsid w:val="00C06E7A"/>
    <w:rsid w:val="00C27C2A"/>
    <w:rsid w:val="00C317A5"/>
    <w:rsid w:val="00C402F3"/>
    <w:rsid w:val="00C624DE"/>
    <w:rsid w:val="00C663F4"/>
    <w:rsid w:val="00C9074F"/>
    <w:rsid w:val="00C94A90"/>
    <w:rsid w:val="00C950BE"/>
    <w:rsid w:val="00C96770"/>
    <w:rsid w:val="00CC4FF4"/>
    <w:rsid w:val="00CC54FA"/>
    <w:rsid w:val="00CE07D6"/>
    <w:rsid w:val="00CF19C8"/>
    <w:rsid w:val="00D11C31"/>
    <w:rsid w:val="00D3364C"/>
    <w:rsid w:val="00D4672F"/>
    <w:rsid w:val="00D53E47"/>
    <w:rsid w:val="00D62895"/>
    <w:rsid w:val="00D92036"/>
    <w:rsid w:val="00D95E60"/>
    <w:rsid w:val="00DA110C"/>
    <w:rsid w:val="00DB6855"/>
    <w:rsid w:val="00DB69FE"/>
    <w:rsid w:val="00DC4D20"/>
    <w:rsid w:val="00DD0996"/>
    <w:rsid w:val="00DD38EE"/>
    <w:rsid w:val="00E057F7"/>
    <w:rsid w:val="00E066AD"/>
    <w:rsid w:val="00E117F2"/>
    <w:rsid w:val="00E271E4"/>
    <w:rsid w:val="00E675C7"/>
    <w:rsid w:val="00E85323"/>
    <w:rsid w:val="00E8778F"/>
    <w:rsid w:val="00EB30F6"/>
    <w:rsid w:val="00EC3358"/>
    <w:rsid w:val="00EE24EA"/>
    <w:rsid w:val="00EF6A51"/>
    <w:rsid w:val="00F0633F"/>
    <w:rsid w:val="00F11194"/>
    <w:rsid w:val="00F214BD"/>
    <w:rsid w:val="00F231BA"/>
    <w:rsid w:val="00F275B5"/>
    <w:rsid w:val="00F32FA3"/>
    <w:rsid w:val="00F5191F"/>
    <w:rsid w:val="00F623FB"/>
    <w:rsid w:val="00F94910"/>
    <w:rsid w:val="00F95605"/>
    <w:rsid w:val="00FB3B29"/>
    <w:rsid w:val="00FC213F"/>
    <w:rsid w:val="00FC3C28"/>
    <w:rsid w:val="00FD7138"/>
    <w:rsid w:val="00FE6F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8FEA"/>
  <w15:docId w15:val="{88AB164C-CC8B-42C4-B2F1-ED655D9D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13CEE"/>
  </w:style>
  <w:style w:type="paragraph" w:styleId="Pealkiri1">
    <w:name w:val="heading 1"/>
    <w:basedOn w:val="Normaallaad"/>
    <w:next w:val="Normaallaad"/>
    <w:link w:val="Pealkiri1Mrk"/>
    <w:uiPriority w:val="9"/>
    <w:qFormat/>
    <w:rsid w:val="00AD2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D2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D2B8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D2B8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D2B8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D2B8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D2B8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D2B8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D2B8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D2B8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D2B8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D2B8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D2B8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D2B8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D2B8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D2B8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D2B8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D2B8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D2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D2B8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D2B8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D2B8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D2B8D"/>
    <w:pPr>
      <w:spacing w:before="160"/>
      <w:jc w:val="center"/>
    </w:pPr>
    <w:rPr>
      <w:i/>
      <w:iCs/>
      <w:color w:val="404040" w:themeColor="text1" w:themeTint="BF"/>
    </w:rPr>
  </w:style>
  <w:style w:type="character" w:customStyle="1" w:styleId="TsitaatMrk">
    <w:name w:val="Tsitaat Märk"/>
    <w:basedOn w:val="Liguvaikefont"/>
    <w:link w:val="Tsitaat"/>
    <w:uiPriority w:val="29"/>
    <w:rsid w:val="00AD2B8D"/>
    <w:rPr>
      <w:i/>
      <w:iCs/>
      <w:color w:val="404040" w:themeColor="text1" w:themeTint="BF"/>
    </w:rPr>
  </w:style>
  <w:style w:type="paragraph" w:styleId="Loendilik">
    <w:name w:val="List Paragraph"/>
    <w:basedOn w:val="Normaallaad"/>
    <w:uiPriority w:val="34"/>
    <w:qFormat/>
    <w:rsid w:val="00AD2B8D"/>
    <w:pPr>
      <w:ind w:left="720"/>
      <w:contextualSpacing/>
    </w:pPr>
  </w:style>
  <w:style w:type="character" w:styleId="Selgeltmrgatavrhutus">
    <w:name w:val="Intense Emphasis"/>
    <w:basedOn w:val="Liguvaikefont"/>
    <w:uiPriority w:val="21"/>
    <w:qFormat/>
    <w:rsid w:val="00AD2B8D"/>
    <w:rPr>
      <w:i/>
      <w:iCs/>
      <w:color w:val="0F4761" w:themeColor="accent1" w:themeShade="BF"/>
    </w:rPr>
  </w:style>
  <w:style w:type="paragraph" w:styleId="Selgeltmrgatavtsitaat">
    <w:name w:val="Intense Quote"/>
    <w:basedOn w:val="Normaallaad"/>
    <w:next w:val="Normaallaad"/>
    <w:link w:val="SelgeltmrgatavtsitaatMrk"/>
    <w:uiPriority w:val="30"/>
    <w:qFormat/>
    <w:rsid w:val="00AD2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D2B8D"/>
    <w:rPr>
      <w:i/>
      <w:iCs/>
      <w:color w:val="0F4761" w:themeColor="accent1" w:themeShade="BF"/>
    </w:rPr>
  </w:style>
  <w:style w:type="character" w:styleId="Selgeltmrgatavviide">
    <w:name w:val="Intense Reference"/>
    <w:basedOn w:val="Liguvaikefont"/>
    <w:uiPriority w:val="32"/>
    <w:qFormat/>
    <w:rsid w:val="00AD2B8D"/>
    <w:rPr>
      <w:b/>
      <w:bCs/>
      <w:smallCaps/>
      <w:color w:val="0F4761" w:themeColor="accent1" w:themeShade="BF"/>
      <w:spacing w:val="5"/>
    </w:rPr>
  </w:style>
  <w:style w:type="character" w:styleId="Hperlink">
    <w:name w:val="Hyperlink"/>
    <w:basedOn w:val="Liguvaikefont"/>
    <w:uiPriority w:val="99"/>
    <w:unhideWhenUsed/>
    <w:rsid w:val="0075776C"/>
    <w:rPr>
      <w:color w:val="467886" w:themeColor="hyperlink"/>
      <w:u w:val="single"/>
    </w:rPr>
  </w:style>
  <w:style w:type="character" w:customStyle="1" w:styleId="Lahendamatamainimine1">
    <w:name w:val="Lahendamata mainimine1"/>
    <w:basedOn w:val="Liguvaikefont"/>
    <w:uiPriority w:val="99"/>
    <w:semiHidden/>
    <w:unhideWhenUsed/>
    <w:rsid w:val="00757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19525">
      <w:bodyDiv w:val="1"/>
      <w:marLeft w:val="0"/>
      <w:marRight w:val="0"/>
      <w:marTop w:val="0"/>
      <w:marBottom w:val="0"/>
      <w:divBdr>
        <w:top w:val="none" w:sz="0" w:space="0" w:color="auto"/>
        <w:left w:val="none" w:sz="0" w:space="0" w:color="auto"/>
        <w:bottom w:val="none" w:sz="0" w:space="0" w:color="auto"/>
        <w:right w:val="none" w:sz="0" w:space="0" w:color="auto"/>
      </w:divBdr>
    </w:div>
    <w:div w:id="163991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2433</Words>
  <Characters>14117</Characters>
  <Application>Microsoft Office Word</Application>
  <DocSecurity>0</DocSecurity>
  <Lines>117</Lines>
  <Paragraphs>33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Janar Filippov - OKK</dc:creator>
  <cp:lastModifiedBy>Janar Filippov - OKK</cp:lastModifiedBy>
  <cp:revision>3</cp:revision>
  <dcterms:created xsi:type="dcterms:W3CDTF">2026-04-29T10:08:00Z</dcterms:created>
  <dcterms:modified xsi:type="dcterms:W3CDTF">2026-04-29T10:09:00Z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2026-03-10T15:30:09Z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cfdeda2f-b92c-4cea-b80b-aa8258aa39d1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